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4A499" w14:textId="77777777" w:rsidR="00D3622A" w:rsidRDefault="00D3622A">
      <w:pPr>
        <w:jc w:val="right"/>
        <w:rPr>
          <w:rFonts w:ascii="Arial" w:hAnsi="Arial" w:cs="Arial"/>
          <w:b/>
          <w:bCs/>
          <w:sz w:val="22"/>
          <w:szCs w:val="22"/>
          <w:lang w:val="it-CH"/>
        </w:rPr>
      </w:pPr>
      <w:bookmarkStart w:id="0" w:name="_GoBack"/>
      <w:bookmarkEnd w:id="0"/>
    </w:p>
    <w:p w14:paraId="170D0F42" w14:textId="269BC295" w:rsidR="00F40DC1" w:rsidRPr="00AC0557" w:rsidRDefault="009706E4">
      <w:pPr>
        <w:jc w:val="right"/>
        <w:rPr>
          <w:rFonts w:ascii="Arial" w:hAnsi="Arial" w:cs="Arial"/>
          <w:lang w:val="it-CH"/>
        </w:rPr>
      </w:pPr>
      <w:r w:rsidRPr="00AC0557">
        <w:rPr>
          <w:rFonts w:ascii="Arial" w:hAnsi="Arial" w:cs="Arial"/>
          <w:b/>
          <w:bCs/>
          <w:sz w:val="22"/>
          <w:szCs w:val="22"/>
          <w:lang w:val="it-CH"/>
        </w:rPr>
        <w:t>RACCOMANDATA</w:t>
      </w:r>
    </w:p>
    <w:p w14:paraId="170D0F43" w14:textId="77777777" w:rsidR="00F40DC1" w:rsidRPr="00AC0557" w:rsidRDefault="009706E4">
      <w:pPr>
        <w:jc w:val="right"/>
        <w:rPr>
          <w:rFonts w:ascii="Arial" w:hAnsi="Arial" w:cs="Arial"/>
          <w:lang w:val="it-CH"/>
        </w:rPr>
      </w:pPr>
      <w:r w:rsidRPr="00AC0557">
        <w:rPr>
          <w:rFonts w:ascii="Arial" w:hAnsi="Arial" w:cs="Arial"/>
          <w:sz w:val="22"/>
          <w:szCs w:val="22"/>
          <w:lang w:val="it-CH"/>
        </w:rPr>
        <w:t>Lodevole</w:t>
      </w:r>
    </w:p>
    <w:p w14:paraId="170D0F44" w14:textId="77777777" w:rsidR="00F40DC1" w:rsidRPr="00AC0557" w:rsidRDefault="009706E4">
      <w:pPr>
        <w:jc w:val="right"/>
        <w:rPr>
          <w:rFonts w:ascii="Arial" w:hAnsi="Arial" w:cs="Arial"/>
          <w:lang w:val="it-CH"/>
        </w:rPr>
      </w:pPr>
      <w:r w:rsidRPr="00AC0557">
        <w:rPr>
          <w:rFonts w:ascii="Arial" w:hAnsi="Arial" w:cs="Arial"/>
          <w:sz w:val="22"/>
          <w:szCs w:val="22"/>
          <w:lang w:val="it-CH"/>
        </w:rPr>
        <w:t>Consiglio di Stato del Cantone Ticino</w:t>
      </w:r>
    </w:p>
    <w:p w14:paraId="170D0F45" w14:textId="77777777" w:rsidR="00F40DC1" w:rsidRPr="00AC0557" w:rsidRDefault="009706E4">
      <w:pPr>
        <w:jc w:val="right"/>
        <w:rPr>
          <w:rFonts w:ascii="Arial" w:hAnsi="Arial" w:cs="Arial"/>
          <w:lang w:val="it-CH"/>
        </w:rPr>
      </w:pPr>
      <w:r w:rsidRPr="00AC0557">
        <w:rPr>
          <w:rFonts w:ascii="Arial" w:hAnsi="Arial" w:cs="Arial"/>
          <w:sz w:val="22"/>
          <w:szCs w:val="22"/>
          <w:lang w:val="it-CH"/>
        </w:rPr>
        <w:t>Servizio dei ricorsi</w:t>
      </w:r>
    </w:p>
    <w:p w14:paraId="170D0F46" w14:textId="77777777" w:rsidR="00F40DC1" w:rsidRPr="00AC0557" w:rsidRDefault="009706E4">
      <w:pPr>
        <w:jc w:val="right"/>
        <w:rPr>
          <w:rFonts w:ascii="Arial" w:hAnsi="Arial" w:cs="Arial"/>
          <w:lang w:val="it-CH"/>
        </w:rPr>
      </w:pPr>
      <w:r w:rsidRPr="00AC0557">
        <w:rPr>
          <w:rFonts w:ascii="Arial" w:hAnsi="Arial" w:cs="Arial"/>
          <w:sz w:val="22"/>
          <w:szCs w:val="22"/>
          <w:lang w:val="it-CH"/>
        </w:rPr>
        <w:t>Piazza Governo 6</w:t>
      </w:r>
    </w:p>
    <w:p w14:paraId="170D0F47" w14:textId="77777777" w:rsidR="00F40DC1" w:rsidRDefault="009706E4">
      <w:pPr>
        <w:spacing w:after="400"/>
        <w:jc w:val="right"/>
        <w:rPr>
          <w:rFonts w:ascii="Arial" w:hAnsi="Arial" w:cs="Arial"/>
          <w:sz w:val="22"/>
          <w:szCs w:val="22"/>
          <w:lang w:val="it-CH"/>
        </w:rPr>
      </w:pPr>
      <w:r w:rsidRPr="00AC0557">
        <w:rPr>
          <w:rFonts w:ascii="Arial" w:hAnsi="Arial" w:cs="Arial"/>
          <w:sz w:val="22"/>
          <w:szCs w:val="22"/>
          <w:lang w:val="it-CH"/>
        </w:rPr>
        <w:t>6501 Bellinzona</w:t>
      </w:r>
    </w:p>
    <w:p w14:paraId="35A5E984" w14:textId="77777777" w:rsidR="00D3622A" w:rsidRDefault="00D3622A">
      <w:pPr>
        <w:spacing w:after="400"/>
        <w:jc w:val="right"/>
        <w:rPr>
          <w:rFonts w:ascii="Arial" w:hAnsi="Arial" w:cs="Arial"/>
          <w:lang w:val="it-CH"/>
        </w:rPr>
      </w:pPr>
    </w:p>
    <w:p w14:paraId="136307C9" w14:textId="77777777" w:rsidR="007D7328" w:rsidRDefault="007D7328">
      <w:pPr>
        <w:spacing w:after="400"/>
        <w:jc w:val="right"/>
        <w:rPr>
          <w:rFonts w:ascii="Arial" w:hAnsi="Arial" w:cs="Arial"/>
          <w:lang w:val="it-CH"/>
        </w:rPr>
      </w:pPr>
    </w:p>
    <w:p w14:paraId="66D633FE" w14:textId="77777777" w:rsidR="007D7328" w:rsidRPr="00AC0557" w:rsidRDefault="007D7328">
      <w:pPr>
        <w:spacing w:after="400"/>
        <w:jc w:val="right"/>
        <w:rPr>
          <w:rFonts w:ascii="Arial" w:hAnsi="Arial" w:cs="Arial"/>
          <w:lang w:val="it-CH"/>
        </w:rPr>
      </w:pPr>
    </w:p>
    <w:p w14:paraId="170D0F48" w14:textId="0642A771" w:rsidR="00F40DC1" w:rsidRPr="00AC0557" w:rsidRDefault="009706E4">
      <w:pPr>
        <w:spacing w:after="600"/>
        <w:jc w:val="right"/>
        <w:rPr>
          <w:rFonts w:ascii="Arial" w:hAnsi="Arial" w:cs="Arial"/>
          <w:lang w:val="it-CH"/>
        </w:rPr>
      </w:pPr>
      <w:r w:rsidRPr="00AC0557">
        <w:rPr>
          <w:rFonts w:ascii="Arial" w:hAnsi="Arial" w:cs="Arial"/>
          <w:sz w:val="22"/>
          <w:szCs w:val="22"/>
          <w:lang w:val="it-CH"/>
        </w:rPr>
        <w:t xml:space="preserve">Bellinzona, </w:t>
      </w:r>
      <w:r w:rsidR="007D7328">
        <w:rPr>
          <w:rFonts w:ascii="Arial" w:hAnsi="Arial" w:cs="Arial"/>
          <w:sz w:val="22"/>
          <w:szCs w:val="22"/>
          <w:lang w:val="it-CH"/>
        </w:rPr>
        <w:t>8</w:t>
      </w:r>
      <w:r w:rsidRPr="00AC0557">
        <w:rPr>
          <w:rFonts w:ascii="Arial" w:hAnsi="Arial" w:cs="Arial"/>
          <w:sz w:val="22"/>
          <w:szCs w:val="22"/>
          <w:lang w:val="it-CH"/>
        </w:rPr>
        <w:t xml:space="preserve"> </w:t>
      </w:r>
      <w:r w:rsidR="003319B4">
        <w:rPr>
          <w:rFonts w:ascii="Arial" w:hAnsi="Arial" w:cs="Arial"/>
          <w:sz w:val="22"/>
          <w:szCs w:val="22"/>
          <w:lang w:val="it-CH"/>
        </w:rPr>
        <w:t>settembre</w:t>
      </w:r>
      <w:r w:rsidRPr="00AC0557">
        <w:rPr>
          <w:rFonts w:ascii="Arial" w:hAnsi="Arial" w:cs="Arial"/>
          <w:sz w:val="22"/>
          <w:szCs w:val="22"/>
          <w:lang w:val="it-CH"/>
        </w:rPr>
        <w:t xml:space="preserve"> 2026</w:t>
      </w:r>
    </w:p>
    <w:p w14:paraId="0F5F64CE" w14:textId="77777777" w:rsidR="0092169B" w:rsidRDefault="0092169B">
      <w:pPr>
        <w:spacing w:after="400"/>
        <w:jc w:val="center"/>
        <w:rPr>
          <w:rFonts w:ascii="Arial" w:hAnsi="Arial" w:cs="Arial"/>
          <w:b/>
          <w:bCs/>
          <w:sz w:val="28"/>
          <w:szCs w:val="28"/>
          <w:lang w:val="it-CH"/>
        </w:rPr>
      </w:pPr>
    </w:p>
    <w:p w14:paraId="7D139C83" w14:textId="77777777" w:rsidR="0092169B" w:rsidRDefault="0092169B">
      <w:pPr>
        <w:spacing w:after="400"/>
        <w:jc w:val="center"/>
        <w:rPr>
          <w:rFonts w:ascii="Arial" w:hAnsi="Arial" w:cs="Arial"/>
          <w:b/>
          <w:bCs/>
          <w:sz w:val="28"/>
          <w:szCs w:val="28"/>
          <w:lang w:val="it-CH"/>
        </w:rPr>
      </w:pPr>
    </w:p>
    <w:p w14:paraId="170D0F49" w14:textId="73333AB0" w:rsidR="00F40DC1" w:rsidRPr="00AC0557" w:rsidRDefault="009706E4">
      <w:pPr>
        <w:spacing w:after="400"/>
        <w:jc w:val="center"/>
        <w:rPr>
          <w:rFonts w:ascii="Arial" w:hAnsi="Arial" w:cs="Arial"/>
          <w:lang w:val="it-CH"/>
        </w:rPr>
      </w:pPr>
      <w:r w:rsidRPr="00AC0557">
        <w:rPr>
          <w:rFonts w:ascii="Arial" w:hAnsi="Arial" w:cs="Arial"/>
          <w:b/>
          <w:bCs/>
          <w:sz w:val="28"/>
          <w:szCs w:val="28"/>
          <w:lang w:val="it-CH"/>
        </w:rPr>
        <w:t>OSSERVAZIONI</w:t>
      </w:r>
    </w:p>
    <w:p w14:paraId="0EF2FE7A" w14:textId="1D666CC8" w:rsidR="0092169B" w:rsidRPr="0092169B" w:rsidRDefault="009706E4">
      <w:pPr>
        <w:spacing w:after="300" w:line="276" w:lineRule="auto"/>
        <w:rPr>
          <w:rFonts w:ascii="Arial" w:hAnsi="Arial" w:cs="Arial"/>
          <w:sz w:val="22"/>
          <w:szCs w:val="22"/>
          <w:lang w:val="it-CH"/>
        </w:rPr>
      </w:pPr>
      <w:r w:rsidRPr="00AC0557">
        <w:rPr>
          <w:rFonts w:ascii="Arial" w:hAnsi="Arial" w:cs="Arial"/>
          <w:sz w:val="22"/>
          <w:szCs w:val="22"/>
          <w:lang w:val="it-CH"/>
        </w:rPr>
        <w:t>che presenta</w:t>
      </w:r>
    </w:p>
    <w:p w14:paraId="170D0F4B" w14:textId="1A1E058A" w:rsidR="00F40DC1" w:rsidRPr="00AC0557" w:rsidRDefault="009706E4">
      <w:pPr>
        <w:spacing w:line="276" w:lineRule="auto"/>
        <w:rPr>
          <w:rFonts w:ascii="Arial" w:hAnsi="Arial" w:cs="Arial"/>
          <w:lang w:val="it-CH"/>
        </w:rPr>
      </w:pPr>
      <w:r w:rsidRPr="00AC0557">
        <w:rPr>
          <w:rFonts w:ascii="Arial" w:hAnsi="Arial" w:cs="Arial"/>
          <w:sz w:val="22"/>
          <w:szCs w:val="22"/>
          <w:lang w:val="it-CH"/>
        </w:rPr>
        <w:t>Movimento per il Socialismo (MPS Ticino, Via Cancelliere Molo 18, 6500 Bellinzona)</w:t>
      </w:r>
    </w:p>
    <w:p w14:paraId="505FD2D8" w14:textId="77777777" w:rsidR="006B6774" w:rsidRDefault="006B6774">
      <w:pPr>
        <w:spacing w:after="300"/>
        <w:jc w:val="right"/>
        <w:rPr>
          <w:rFonts w:ascii="Arial" w:hAnsi="Arial" w:cs="Arial"/>
          <w:i/>
          <w:iCs/>
          <w:sz w:val="22"/>
          <w:szCs w:val="22"/>
          <w:lang w:val="it-CH"/>
        </w:rPr>
      </w:pPr>
    </w:p>
    <w:p w14:paraId="170D0F4C" w14:textId="1968465B" w:rsidR="00F40DC1" w:rsidRPr="00AC0557" w:rsidRDefault="009706E4">
      <w:pPr>
        <w:spacing w:after="300"/>
        <w:jc w:val="right"/>
        <w:rPr>
          <w:rFonts w:ascii="Arial" w:hAnsi="Arial" w:cs="Arial"/>
          <w:lang w:val="it-CH"/>
        </w:rPr>
      </w:pPr>
      <w:r w:rsidRPr="00AC0557">
        <w:rPr>
          <w:rFonts w:ascii="Arial" w:hAnsi="Arial" w:cs="Arial"/>
          <w:i/>
          <w:iCs/>
          <w:sz w:val="22"/>
          <w:szCs w:val="22"/>
          <w:lang w:val="it-CH"/>
        </w:rPr>
        <w:t>ricorrente</w:t>
      </w:r>
    </w:p>
    <w:p w14:paraId="170D0F4E" w14:textId="6DD4636C" w:rsidR="00F40DC1" w:rsidRDefault="009706E4" w:rsidP="00D3622A">
      <w:pPr>
        <w:spacing w:line="276" w:lineRule="auto"/>
        <w:jc w:val="both"/>
        <w:rPr>
          <w:rFonts w:ascii="Arial" w:hAnsi="Arial" w:cs="Arial"/>
          <w:sz w:val="22"/>
          <w:szCs w:val="22"/>
          <w:lang w:val="it-CH"/>
        </w:rPr>
      </w:pPr>
      <w:r w:rsidRPr="00AC0557">
        <w:rPr>
          <w:rFonts w:ascii="Arial" w:hAnsi="Arial" w:cs="Arial"/>
          <w:sz w:val="22"/>
          <w:szCs w:val="22"/>
          <w:lang w:val="it-CH"/>
        </w:rPr>
        <w:t>nell'ambito d</w:t>
      </w:r>
      <w:r w:rsidR="006B6774">
        <w:rPr>
          <w:rFonts w:ascii="Arial" w:hAnsi="Arial" w:cs="Arial"/>
          <w:sz w:val="22"/>
          <w:szCs w:val="22"/>
          <w:lang w:val="it-CH"/>
        </w:rPr>
        <w:t>ella procedura</w:t>
      </w:r>
      <w:r w:rsidRPr="00AC0557">
        <w:rPr>
          <w:rFonts w:ascii="Arial" w:hAnsi="Arial" w:cs="Arial"/>
          <w:sz w:val="22"/>
          <w:szCs w:val="22"/>
          <w:lang w:val="it-CH"/>
        </w:rPr>
        <w:t xml:space="preserve"> n. PUB.2026.81</w:t>
      </w:r>
      <w:r w:rsidR="006B6774">
        <w:rPr>
          <w:rFonts w:ascii="Arial" w:hAnsi="Arial" w:cs="Arial"/>
          <w:sz w:val="22"/>
          <w:szCs w:val="22"/>
          <w:lang w:val="it-CH"/>
        </w:rPr>
        <w:t xml:space="preserve"> </w:t>
      </w:r>
      <w:r w:rsidR="00D3622A">
        <w:rPr>
          <w:rFonts w:ascii="Arial" w:hAnsi="Arial" w:cs="Arial"/>
          <w:sz w:val="22"/>
          <w:szCs w:val="22"/>
          <w:lang w:val="it-CH"/>
        </w:rPr>
        <w:t>inerente i</w:t>
      </w:r>
      <w:r w:rsidR="006B6774">
        <w:rPr>
          <w:rFonts w:ascii="Arial" w:hAnsi="Arial" w:cs="Arial"/>
          <w:sz w:val="22"/>
          <w:szCs w:val="22"/>
          <w:lang w:val="it-CH"/>
        </w:rPr>
        <w:t xml:space="preserve">l </w:t>
      </w:r>
      <w:r w:rsidR="006B6774" w:rsidRPr="006B6774">
        <w:rPr>
          <w:rFonts w:ascii="Arial" w:hAnsi="Arial" w:cs="Arial"/>
          <w:sz w:val="22"/>
          <w:szCs w:val="22"/>
          <w:lang w:val="it-CH"/>
        </w:rPr>
        <w:t>r</w:t>
      </w:r>
      <w:r w:rsidRPr="006B6774">
        <w:rPr>
          <w:rFonts w:ascii="Arial" w:hAnsi="Arial" w:cs="Arial"/>
          <w:sz w:val="22"/>
          <w:szCs w:val="22"/>
          <w:lang w:val="it-CH"/>
        </w:rPr>
        <w:t>icorso</w:t>
      </w:r>
      <w:r w:rsidR="00D3622A">
        <w:rPr>
          <w:rFonts w:ascii="Arial" w:hAnsi="Arial" w:cs="Arial"/>
          <w:sz w:val="22"/>
          <w:szCs w:val="22"/>
          <w:lang w:val="it-CH"/>
        </w:rPr>
        <w:t xml:space="preserve"> del</w:t>
      </w:r>
      <w:r w:rsidRPr="006B6774">
        <w:rPr>
          <w:rFonts w:ascii="Arial" w:hAnsi="Arial" w:cs="Arial"/>
          <w:sz w:val="22"/>
          <w:szCs w:val="22"/>
          <w:lang w:val="it-CH"/>
        </w:rPr>
        <w:t xml:space="preserve"> 15 giugno 2026</w:t>
      </w:r>
      <w:r w:rsidR="00D3622A">
        <w:rPr>
          <w:rFonts w:ascii="Arial" w:hAnsi="Arial" w:cs="Arial"/>
          <w:sz w:val="22"/>
          <w:szCs w:val="22"/>
          <w:lang w:val="it-CH"/>
        </w:rPr>
        <w:t xml:space="preserve"> presentato dal </w:t>
      </w:r>
      <w:r w:rsidRPr="006B6774">
        <w:rPr>
          <w:rFonts w:ascii="Arial" w:hAnsi="Arial" w:cs="Arial"/>
          <w:sz w:val="22"/>
          <w:szCs w:val="22"/>
          <w:lang w:val="it-CH"/>
        </w:rPr>
        <w:t>Movimento per il Socialismo contro la decisione dell'8 maggio 2026 del Municipio di Mendrisio</w:t>
      </w:r>
      <w:r w:rsidR="006C1241">
        <w:rPr>
          <w:rFonts w:ascii="Arial" w:hAnsi="Arial" w:cs="Arial"/>
          <w:sz w:val="22"/>
          <w:szCs w:val="22"/>
          <w:lang w:val="it-CH"/>
        </w:rPr>
        <w:t>.</w:t>
      </w:r>
    </w:p>
    <w:p w14:paraId="2B9F35A5" w14:textId="77777777" w:rsidR="006C1241" w:rsidRPr="00AC0557" w:rsidRDefault="006C1241" w:rsidP="00D3622A">
      <w:pPr>
        <w:spacing w:line="276" w:lineRule="auto"/>
        <w:jc w:val="both"/>
        <w:rPr>
          <w:rFonts w:ascii="Arial" w:hAnsi="Arial" w:cs="Arial"/>
          <w:lang w:val="it-CH"/>
        </w:rPr>
      </w:pPr>
    </w:p>
    <w:p w14:paraId="170D0F4F" w14:textId="0F110097" w:rsidR="00F40DC1" w:rsidRPr="00AC0557" w:rsidRDefault="009706E4">
      <w:pPr>
        <w:spacing w:after="400"/>
        <w:jc w:val="center"/>
        <w:rPr>
          <w:rFonts w:ascii="Arial" w:hAnsi="Arial" w:cs="Arial"/>
          <w:lang w:val="it-CH"/>
        </w:rPr>
      </w:pPr>
      <w:r w:rsidRPr="00AC0557">
        <w:rPr>
          <w:rFonts w:ascii="Arial" w:hAnsi="Arial" w:cs="Arial"/>
          <w:sz w:val="22"/>
          <w:szCs w:val="22"/>
          <w:lang w:val="it-CH"/>
        </w:rPr>
        <w:t>* * *</w:t>
      </w:r>
    </w:p>
    <w:p w14:paraId="04DDB9B0" w14:textId="77777777" w:rsidR="006C1241" w:rsidRDefault="006C1241">
      <w:pPr>
        <w:spacing w:before="300" w:after="200"/>
        <w:rPr>
          <w:rFonts w:ascii="Arial" w:hAnsi="Arial" w:cs="Arial"/>
          <w:b/>
          <w:bCs/>
          <w:sz w:val="22"/>
          <w:szCs w:val="22"/>
          <w:lang w:val="it-CH"/>
        </w:rPr>
      </w:pPr>
    </w:p>
    <w:p w14:paraId="170D0F50" w14:textId="72C18379" w:rsidR="00F40DC1" w:rsidRPr="00577FDC" w:rsidRDefault="009706E4">
      <w:pPr>
        <w:spacing w:before="300" w:after="200"/>
        <w:rPr>
          <w:rFonts w:ascii="Arial" w:hAnsi="Arial" w:cs="Arial"/>
          <w:b/>
          <w:bCs/>
          <w:sz w:val="22"/>
          <w:szCs w:val="22"/>
          <w:lang w:val="it-CH"/>
        </w:rPr>
      </w:pPr>
      <w:r w:rsidRPr="00AC0557">
        <w:rPr>
          <w:rFonts w:ascii="Arial" w:hAnsi="Arial" w:cs="Arial"/>
          <w:b/>
          <w:bCs/>
          <w:sz w:val="22"/>
          <w:szCs w:val="22"/>
          <w:lang w:val="it-CH"/>
        </w:rPr>
        <w:t>A. IN FATTO</w:t>
      </w:r>
    </w:p>
    <w:p w14:paraId="170D0F51" w14:textId="17E45A4E"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1. Con ricorso del 15 giugno 2026, il Movimento per il Socialismo (di seguito: MPS o il ricorrente) ha impugnato la decisione dell'8 maggio 2026 del Municipio di Mendrisio, con cui è stato respinto il reclamo contro la fattura n. 2026.005470 dell'11 febbraio 2026 per il servizio di gestione del traffico in occasione della manifestazione politica autorizzata e svoltasi pacificamente il 28 gennaio 2026.</w:t>
      </w:r>
    </w:p>
    <w:p w14:paraId="170D0F52" w14:textId="3DCD9BC5"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lastRenderedPageBreak/>
        <w:t>2. Con scritto del 31 luglio 2026, il Municipio di Mendrisio ha comunicato di aver, con risoluzione municipale</w:t>
      </w:r>
      <w:r w:rsidR="002D5CE9">
        <w:rPr>
          <w:rFonts w:ascii="Arial" w:hAnsi="Arial" w:cs="Arial"/>
          <w:sz w:val="22"/>
          <w:szCs w:val="22"/>
          <w:lang w:val="it-CH"/>
        </w:rPr>
        <w:t xml:space="preserve"> </w:t>
      </w:r>
      <w:r w:rsidRPr="00AC0557">
        <w:rPr>
          <w:rFonts w:ascii="Arial" w:hAnsi="Arial" w:cs="Arial"/>
          <w:sz w:val="22"/>
          <w:szCs w:val="22"/>
          <w:lang w:val="it-CH"/>
        </w:rPr>
        <w:t xml:space="preserve">n. 5489 del 28 luglio 2026, </w:t>
      </w:r>
      <w:r w:rsidRPr="00AC0557">
        <w:rPr>
          <w:rFonts w:ascii="Arial" w:hAnsi="Arial" w:cs="Arial"/>
          <w:b/>
          <w:bCs/>
          <w:sz w:val="22"/>
          <w:szCs w:val="22"/>
          <w:lang w:val="it-CH"/>
        </w:rPr>
        <w:t>revocato parzialmente</w:t>
      </w:r>
      <w:r w:rsidRPr="00AC0557">
        <w:rPr>
          <w:rFonts w:ascii="Arial" w:hAnsi="Arial" w:cs="Arial"/>
          <w:sz w:val="22"/>
          <w:szCs w:val="22"/>
          <w:lang w:val="it-CH"/>
        </w:rPr>
        <w:t xml:space="preserve"> l'autorizzazione del 21 gennaio 2026, limitatamente all'importo di CHF 600.–, nonché la fattura n. 2026.005470, chiedendo la sospensione della procedura e lo stralcio del gravame "divenuto privo di oggetto", senza spese, tasse e ripetibili.</w:t>
      </w:r>
    </w:p>
    <w:p w14:paraId="37F9C447" w14:textId="1DA69F9F" w:rsidR="00CB1CEE" w:rsidRDefault="009706E4">
      <w:pPr>
        <w:spacing w:after="160" w:line="276" w:lineRule="auto"/>
        <w:ind w:left="500" w:hanging="500"/>
        <w:jc w:val="both"/>
        <w:rPr>
          <w:rFonts w:ascii="Arial" w:hAnsi="Arial" w:cs="Arial"/>
          <w:sz w:val="22"/>
          <w:szCs w:val="22"/>
          <w:lang w:val="it-CH"/>
        </w:rPr>
      </w:pPr>
      <w:r w:rsidRPr="00AC0557">
        <w:rPr>
          <w:rFonts w:ascii="Arial" w:hAnsi="Arial" w:cs="Arial"/>
          <w:sz w:val="22"/>
          <w:szCs w:val="22"/>
          <w:lang w:val="it-CH"/>
        </w:rPr>
        <w:t>3. Con decreto n. 360 del 3 agosto 2026, il Servizio dei ricorsi ha sospeso la procedura fino al 30 settembre 2026, precisando che essa "potrà essere preventivamente richiesta ad istanza di parte" prima di tale termine</w:t>
      </w:r>
      <w:r w:rsidR="00CB1CEE">
        <w:rPr>
          <w:rFonts w:ascii="Arial" w:hAnsi="Arial" w:cs="Arial"/>
          <w:sz w:val="22"/>
          <w:szCs w:val="22"/>
          <w:lang w:val="it-CH"/>
        </w:rPr>
        <w:t>.</w:t>
      </w:r>
    </w:p>
    <w:p w14:paraId="170D0F54" w14:textId="4A7534D5"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 xml:space="preserve">4. Il ricorrente ha ottenuto </w:t>
      </w:r>
      <w:r w:rsidRPr="00CB1CEE">
        <w:rPr>
          <w:rFonts w:ascii="Arial" w:hAnsi="Arial" w:cs="Arial"/>
          <w:sz w:val="22"/>
          <w:szCs w:val="22"/>
          <w:lang w:val="it-CH"/>
        </w:rPr>
        <w:t>l'estratto dell</w:t>
      </w:r>
      <w:r w:rsidR="00CB1CEE">
        <w:rPr>
          <w:rFonts w:ascii="Arial" w:hAnsi="Arial" w:cs="Arial"/>
          <w:sz w:val="22"/>
          <w:szCs w:val="22"/>
          <w:lang w:val="it-CH"/>
        </w:rPr>
        <w:t>a risoluzione municipale</w:t>
      </w:r>
      <w:r w:rsidRPr="00CB1CEE">
        <w:rPr>
          <w:rFonts w:ascii="Arial" w:hAnsi="Arial" w:cs="Arial"/>
          <w:sz w:val="22"/>
          <w:szCs w:val="22"/>
          <w:lang w:val="it-CH"/>
        </w:rPr>
        <w:t xml:space="preserve"> </w:t>
      </w:r>
      <w:r w:rsidRPr="00AC0557">
        <w:rPr>
          <w:rFonts w:ascii="Arial" w:hAnsi="Arial" w:cs="Arial"/>
          <w:sz w:val="22"/>
          <w:szCs w:val="22"/>
          <w:lang w:val="it-CH"/>
        </w:rPr>
        <w:t>n. 5489 del 28 luglio 2026</w:t>
      </w:r>
      <w:r w:rsidR="004776AE">
        <w:rPr>
          <w:rFonts w:ascii="Arial" w:hAnsi="Arial" w:cs="Arial"/>
          <w:sz w:val="22"/>
          <w:szCs w:val="22"/>
          <w:lang w:val="it-CH"/>
        </w:rPr>
        <w:t xml:space="preserve"> (doc. 5)</w:t>
      </w:r>
      <w:r w:rsidRPr="00AC0557">
        <w:rPr>
          <w:rFonts w:ascii="Arial" w:hAnsi="Arial" w:cs="Arial"/>
          <w:sz w:val="22"/>
          <w:szCs w:val="22"/>
          <w:lang w:val="it-CH"/>
        </w:rPr>
        <w:t xml:space="preserve"> che espone per la prima volta le motivazioni della revoca. Da tale documento risulta quanto segue: il Servizio giuridico del Comune, richiamando espressamente la sentenza del Tribunale cantonale friburghese </w:t>
      </w:r>
      <w:r w:rsidRPr="00577FDC">
        <w:rPr>
          <w:rFonts w:ascii="Arial" w:hAnsi="Arial" w:cs="Arial"/>
          <w:sz w:val="22"/>
          <w:szCs w:val="22"/>
          <w:lang w:val="it-CH"/>
        </w:rPr>
        <w:t>604 2024 104 del 20 maggio 2025</w:t>
      </w:r>
      <w:r w:rsidRPr="00AC0557">
        <w:rPr>
          <w:rFonts w:ascii="Arial" w:hAnsi="Arial" w:cs="Arial"/>
          <w:sz w:val="22"/>
          <w:szCs w:val="22"/>
          <w:lang w:val="it-CH"/>
        </w:rPr>
        <w:t xml:space="preserve"> ha concluso che il servizio di gestione della circolazione stradale durante una manifestazione non costituisce un servizio "principalmente nell'interesse dei privati" e non può pertanto essere fatturato; che la richiesta di pagamento rappresenta una "restrizione ingiustificata" della libertà di opinione e di riunione, "non sopportata da una base legale sufficiente e non proporzionata"; e che, giusta l'art. 10 LPol, la gestione della circolazione in occasione di una manifestazione è un compito ordinario di polizia che dev'essere prestato </w:t>
      </w:r>
      <w:r w:rsidRPr="00AC0557">
        <w:rPr>
          <w:rFonts w:ascii="Arial" w:hAnsi="Arial" w:cs="Arial"/>
          <w:b/>
          <w:bCs/>
          <w:sz w:val="22"/>
          <w:szCs w:val="22"/>
          <w:lang w:val="it-CH"/>
        </w:rPr>
        <w:t>gratuitamente</w:t>
      </w:r>
      <w:r w:rsidRPr="00AC0557">
        <w:rPr>
          <w:rFonts w:ascii="Arial" w:hAnsi="Arial" w:cs="Arial"/>
          <w:sz w:val="22"/>
          <w:szCs w:val="22"/>
          <w:lang w:val="it-CH"/>
        </w:rPr>
        <w:t>. Su queste basi, il Servizio giuridico ha proposto, e il Municipio ha deciso, di revocare l'autorizzazione e la fattura</w:t>
      </w:r>
      <w:r w:rsidR="00047655">
        <w:rPr>
          <w:rFonts w:ascii="Arial" w:hAnsi="Arial" w:cs="Arial"/>
          <w:sz w:val="22"/>
          <w:szCs w:val="22"/>
          <w:lang w:val="it-CH"/>
        </w:rPr>
        <w:t>. L’esecutivo ha dato seguito a questa proposta</w:t>
      </w:r>
      <w:r w:rsidRPr="00AC0557">
        <w:rPr>
          <w:rFonts w:ascii="Arial" w:hAnsi="Arial" w:cs="Arial"/>
          <w:sz w:val="22"/>
          <w:szCs w:val="22"/>
          <w:lang w:val="it-CH"/>
        </w:rPr>
        <w:t>.</w:t>
      </w:r>
    </w:p>
    <w:p w14:paraId="170D0F55" w14:textId="395BE016"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5. Con le presenti osservazioni</w:t>
      </w:r>
      <w:r w:rsidR="00047655">
        <w:rPr>
          <w:rFonts w:ascii="Arial" w:hAnsi="Arial" w:cs="Arial"/>
          <w:sz w:val="22"/>
          <w:szCs w:val="22"/>
          <w:lang w:val="it-CH"/>
        </w:rPr>
        <w:t xml:space="preserve"> </w:t>
      </w:r>
      <w:r w:rsidRPr="00AC0557">
        <w:rPr>
          <w:rFonts w:ascii="Arial" w:hAnsi="Arial" w:cs="Arial"/>
          <w:sz w:val="22"/>
          <w:szCs w:val="22"/>
          <w:lang w:val="it-CH"/>
        </w:rPr>
        <w:t>il ricorrente: (i) chiede la riattivazione anticipata della procedura; (ii) si oppone allo stralcio richiesto dal Comune di Mendrisio; e (iii) chiede che il Consiglio di Stato si pronunci nel merito del ricorso 15 giugno 2026.</w:t>
      </w:r>
    </w:p>
    <w:p w14:paraId="170D0F56" w14:textId="77777777" w:rsidR="00F40DC1" w:rsidRPr="00AC0557" w:rsidRDefault="009706E4">
      <w:pPr>
        <w:spacing w:before="300" w:after="200"/>
        <w:rPr>
          <w:rFonts w:ascii="Arial" w:hAnsi="Arial" w:cs="Arial"/>
          <w:lang w:val="it-CH"/>
        </w:rPr>
      </w:pPr>
      <w:r w:rsidRPr="00AC0557">
        <w:rPr>
          <w:rFonts w:ascii="Arial" w:hAnsi="Arial" w:cs="Arial"/>
          <w:b/>
          <w:bCs/>
          <w:sz w:val="22"/>
          <w:szCs w:val="22"/>
          <w:lang w:val="it-CH"/>
        </w:rPr>
        <w:t>B. IN DIRITTO</w:t>
      </w:r>
    </w:p>
    <w:p w14:paraId="170D0F57" w14:textId="00E398A1" w:rsidR="00F40DC1" w:rsidRPr="00AC0557" w:rsidRDefault="009706E4" w:rsidP="005309E8">
      <w:pPr>
        <w:spacing w:before="300" w:after="200"/>
        <w:jc w:val="both"/>
        <w:rPr>
          <w:rFonts w:ascii="Arial" w:hAnsi="Arial" w:cs="Arial"/>
          <w:lang w:val="it-CH"/>
        </w:rPr>
      </w:pPr>
      <w:r w:rsidRPr="00AC0557">
        <w:rPr>
          <w:rFonts w:ascii="Arial" w:hAnsi="Arial" w:cs="Arial"/>
          <w:b/>
          <w:bCs/>
          <w:sz w:val="22"/>
          <w:szCs w:val="22"/>
          <w:lang w:val="it-CH"/>
        </w:rPr>
        <w:t xml:space="preserve">1. La </w:t>
      </w:r>
      <w:r w:rsidR="005309E8">
        <w:rPr>
          <w:rFonts w:ascii="Arial" w:hAnsi="Arial" w:cs="Arial"/>
          <w:b/>
          <w:bCs/>
          <w:sz w:val="22"/>
          <w:szCs w:val="22"/>
          <w:lang w:val="it-CH"/>
        </w:rPr>
        <w:t>decisione di revoca del Municipio di Mendrisio</w:t>
      </w:r>
      <w:r w:rsidRPr="00AC0557">
        <w:rPr>
          <w:rFonts w:ascii="Arial" w:hAnsi="Arial" w:cs="Arial"/>
          <w:b/>
          <w:bCs/>
          <w:sz w:val="22"/>
          <w:szCs w:val="22"/>
          <w:lang w:val="it-CH"/>
        </w:rPr>
        <w:t xml:space="preserve"> non priva il ricorso del suo oggetto</w:t>
      </w:r>
    </w:p>
    <w:p w14:paraId="170D0F58" w14:textId="0B53C43E"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1.1. La revoca comunicata il 31 luglio 2026</w:t>
      </w:r>
      <w:r w:rsidR="002B7E96">
        <w:rPr>
          <w:rFonts w:ascii="Arial" w:hAnsi="Arial" w:cs="Arial"/>
          <w:sz w:val="22"/>
          <w:szCs w:val="22"/>
          <w:lang w:val="it-CH"/>
        </w:rPr>
        <w:t xml:space="preserve"> </w:t>
      </w:r>
      <w:r w:rsidRPr="00AC0557">
        <w:rPr>
          <w:rFonts w:ascii="Arial" w:hAnsi="Arial" w:cs="Arial"/>
          <w:sz w:val="22"/>
          <w:szCs w:val="22"/>
          <w:lang w:val="it-CH"/>
        </w:rPr>
        <w:t xml:space="preserve">concerne unicamente </w:t>
      </w:r>
      <w:r w:rsidR="002B7E96">
        <w:rPr>
          <w:rFonts w:ascii="Arial" w:hAnsi="Arial" w:cs="Arial"/>
          <w:sz w:val="22"/>
          <w:szCs w:val="22"/>
          <w:lang w:val="it-CH"/>
        </w:rPr>
        <w:t>una parte dell’</w:t>
      </w:r>
      <w:r w:rsidR="00CB722A">
        <w:rPr>
          <w:rFonts w:ascii="Arial" w:hAnsi="Arial" w:cs="Arial"/>
          <w:sz w:val="22"/>
          <w:szCs w:val="22"/>
          <w:lang w:val="it-CH"/>
        </w:rPr>
        <w:t>autorizzazione</w:t>
      </w:r>
      <w:r w:rsidR="002B7E96">
        <w:rPr>
          <w:rFonts w:ascii="Arial" w:hAnsi="Arial" w:cs="Arial"/>
          <w:sz w:val="22"/>
          <w:szCs w:val="22"/>
          <w:lang w:val="it-CH"/>
        </w:rPr>
        <w:t xml:space="preserve"> del 21 gennaio </w:t>
      </w:r>
      <w:r w:rsidRPr="00AC0557">
        <w:rPr>
          <w:rFonts w:ascii="Arial" w:hAnsi="Arial" w:cs="Arial"/>
          <w:sz w:val="22"/>
          <w:szCs w:val="22"/>
          <w:lang w:val="it-CH"/>
        </w:rPr>
        <w:t>e la fattura conseguente. Come si dirà al punto 1.4, dalle motivazioni contenute nell'estratto RM 5489 emerge che il Comune ha di fatto riconosciuto, sul piano sostanziale, l'illegittimità dell'addebito. Tale riconoscimento non si è tuttavia tradotto in una decisione formale del Consiglio di Stato che vincoli il Comune per il futuro, né in un impegno esplicito a non riproporre la medesima pratica in occasione di successive manifestazioni: il Comune si è limitato a un atto</w:t>
      </w:r>
      <w:r w:rsidR="00CB722A">
        <w:rPr>
          <w:rFonts w:ascii="Arial" w:hAnsi="Arial" w:cs="Arial"/>
          <w:sz w:val="22"/>
          <w:szCs w:val="22"/>
          <w:lang w:val="it-CH"/>
        </w:rPr>
        <w:t xml:space="preserve"> </w:t>
      </w:r>
      <w:r w:rsidRPr="00AC0557">
        <w:rPr>
          <w:rFonts w:ascii="Arial" w:hAnsi="Arial" w:cs="Arial"/>
          <w:sz w:val="22"/>
          <w:szCs w:val="22"/>
          <w:lang w:val="it-CH"/>
        </w:rPr>
        <w:t>relativo al solo caso concreto, chiedendo peraltro che ciò avvenga senza spese, tasse e ripetibili.</w:t>
      </w:r>
    </w:p>
    <w:p w14:paraId="170D0F59" w14:textId="02A94668"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 xml:space="preserve">1.2. La revoca interviene inoltre </w:t>
      </w:r>
      <w:r w:rsidRPr="00571829">
        <w:rPr>
          <w:rFonts w:ascii="Arial" w:hAnsi="Arial" w:cs="Arial"/>
          <w:sz w:val="22"/>
          <w:szCs w:val="22"/>
          <w:lang w:val="it-CH"/>
        </w:rPr>
        <w:t>a ridosso della scadenza del termine di risposta</w:t>
      </w:r>
      <w:r w:rsidRPr="00AC0557">
        <w:rPr>
          <w:rFonts w:ascii="Arial" w:hAnsi="Arial" w:cs="Arial"/>
          <w:sz w:val="22"/>
          <w:szCs w:val="22"/>
          <w:lang w:val="it-CH"/>
        </w:rPr>
        <w:t xml:space="preserve"> (18 agosto 2026) fissato al Comune. Come esposto al successivo punto 1.4, l'estratto della RM 5489 dimostra che la revoca costituisce, nella sostanza, un riconoscimento della fondatezza del ricorso; ciò non toglie che</w:t>
      </w:r>
      <w:r w:rsidR="00571829">
        <w:rPr>
          <w:rFonts w:ascii="Arial" w:hAnsi="Arial" w:cs="Arial"/>
          <w:sz w:val="22"/>
          <w:szCs w:val="22"/>
          <w:lang w:val="it-CH"/>
        </w:rPr>
        <w:t xml:space="preserve"> </w:t>
      </w:r>
      <w:r w:rsidRPr="00AC0557">
        <w:rPr>
          <w:rFonts w:ascii="Arial" w:hAnsi="Arial" w:cs="Arial"/>
          <w:sz w:val="22"/>
          <w:szCs w:val="22"/>
          <w:lang w:val="it-CH"/>
        </w:rPr>
        <w:t xml:space="preserve">il Comune abbia scelto la </w:t>
      </w:r>
      <w:r w:rsidR="00907C0F">
        <w:rPr>
          <w:rFonts w:ascii="Arial" w:hAnsi="Arial" w:cs="Arial"/>
          <w:sz w:val="22"/>
          <w:szCs w:val="22"/>
          <w:lang w:val="it-CH"/>
        </w:rPr>
        <w:t xml:space="preserve">revoca </w:t>
      </w:r>
      <w:r w:rsidRPr="00AC0557">
        <w:rPr>
          <w:rFonts w:ascii="Arial" w:hAnsi="Arial" w:cs="Arial"/>
          <w:sz w:val="22"/>
          <w:szCs w:val="22"/>
          <w:lang w:val="it-CH"/>
        </w:rPr>
        <w:t xml:space="preserve">anziché </w:t>
      </w:r>
      <w:r w:rsidR="00907C0F">
        <w:rPr>
          <w:rFonts w:ascii="Arial" w:hAnsi="Arial" w:cs="Arial"/>
          <w:sz w:val="22"/>
          <w:szCs w:val="22"/>
          <w:lang w:val="it-CH"/>
        </w:rPr>
        <w:t xml:space="preserve">presentare un allegato </w:t>
      </w:r>
      <w:r w:rsidRPr="00AC0557">
        <w:rPr>
          <w:rFonts w:ascii="Arial" w:hAnsi="Arial" w:cs="Arial"/>
          <w:sz w:val="22"/>
          <w:szCs w:val="22"/>
          <w:lang w:val="it-CH"/>
        </w:rPr>
        <w:t xml:space="preserve">di risposta proprio nel momento in cui avrebbe </w:t>
      </w:r>
      <w:r w:rsidR="00C846DD">
        <w:rPr>
          <w:rFonts w:ascii="Arial" w:hAnsi="Arial" w:cs="Arial"/>
          <w:sz w:val="22"/>
          <w:szCs w:val="22"/>
          <w:lang w:val="it-CH"/>
        </w:rPr>
        <w:t xml:space="preserve">potuto, e </w:t>
      </w:r>
      <w:r w:rsidRPr="00AC0557">
        <w:rPr>
          <w:rFonts w:ascii="Arial" w:hAnsi="Arial" w:cs="Arial"/>
          <w:sz w:val="22"/>
          <w:szCs w:val="22"/>
          <w:lang w:val="it-CH"/>
        </w:rPr>
        <w:t>dovuto</w:t>
      </w:r>
      <w:r w:rsidR="00C846DD">
        <w:rPr>
          <w:rFonts w:ascii="Arial" w:hAnsi="Arial" w:cs="Arial"/>
          <w:sz w:val="22"/>
          <w:szCs w:val="22"/>
          <w:lang w:val="it-CH"/>
        </w:rPr>
        <w:t>,</w:t>
      </w:r>
      <w:r w:rsidRPr="00AC0557">
        <w:rPr>
          <w:rFonts w:ascii="Arial" w:hAnsi="Arial" w:cs="Arial"/>
          <w:sz w:val="22"/>
          <w:szCs w:val="22"/>
          <w:lang w:val="it-CH"/>
        </w:rPr>
        <w:t xml:space="preserve"> motivare la propria posizione dinanzi al Consiglio di Stato, sottraendo </w:t>
      </w:r>
      <w:r w:rsidR="00C846DD" w:rsidRPr="00AC0557">
        <w:rPr>
          <w:rFonts w:ascii="Arial" w:hAnsi="Arial" w:cs="Arial"/>
          <w:sz w:val="22"/>
          <w:szCs w:val="22"/>
          <w:lang w:val="it-CH"/>
        </w:rPr>
        <w:t xml:space="preserve">così </w:t>
      </w:r>
      <w:r w:rsidRPr="00AC0557">
        <w:rPr>
          <w:rFonts w:ascii="Arial" w:hAnsi="Arial" w:cs="Arial"/>
          <w:sz w:val="22"/>
          <w:szCs w:val="22"/>
          <w:lang w:val="it-CH"/>
        </w:rPr>
        <w:t>la questione a una pronuncia formale e vincolante.</w:t>
      </w:r>
    </w:p>
    <w:p w14:paraId="170D0F5A" w14:textId="589210D4"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 xml:space="preserve">1.3. Il ricorrente non ha mai rinunciato alle proprie conclusioni. Il ricorso 15 giugno 2026 chiedeva, oltre all'annullamento della fattura, </w:t>
      </w:r>
      <w:r w:rsidRPr="00AC0557">
        <w:rPr>
          <w:rFonts w:ascii="Arial" w:hAnsi="Arial" w:cs="Arial"/>
          <w:b/>
          <w:bCs/>
          <w:sz w:val="22"/>
          <w:szCs w:val="22"/>
          <w:lang w:val="it-CH"/>
        </w:rPr>
        <w:t xml:space="preserve">l'annullamento della decisione </w:t>
      </w:r>
      <w:r w:rsidRPr="00AC0557">
        <w:rPr>
          <w:rFonts w:ascii="Arial" w:hAnsi="Arial" w:cs="Arial"/>
          <w:b/>
          <w:bCs/>
          <w:sz w:val="22"/>
          <w:szCs w:val="22"/>
          <w:lang w:val="it-CH"/>
        </w:rPr>
        <w:lastRenderedPageBreak/>
        <w:t>impugnata</w:t>
      </w:r>
      <w:r w:rsidRPr="00AC0557">
        <w:rPr>
          <w:rFonts w:ascii="Arial" w:hAnsi="Arial" w:cs="Arial"/>
          <w:sz w:val="22"/>
          <w:szCs w:val="22"/>
          <w:lang w:val="it-CH"/>
        </w:rPr>
        <w:t xml:space="preserve"> e </w:t>
      </w:r>
      <w:r w:rsidRPr="00AC0557">
        <w:rPr>
          <w:rFonts w:ascii="Arial" w:hAnsi="Arial" w:cs="Arial"/>
          <w:b/>
          <w:bCs/>
          <w:sz w:val="22"/>
          <w:szCs w:val="22"/>
          <w:lang w:val="it-CH"/>
        </w:rPr>
        <w:t>le spese, tasse e ripetibili a carico del Comune</w:t>
      </w:r>
      <w:r w:rsidRPr="00AC0557">
        <w:rPr>
          <w:rFonts w:ascii="Arial" w:hAnsi="Arial" w:cs="Arial"/>
          <w:sz w:val="22"/>
          <w:szCs w:val="22"/>
          <w:lang w:val="it-CH"/>
        </w:rPr>
        <w:t xml:space="preserve">. Su questi punti permane un interesse pratico e attuale, indipendentemente dalla revoca </w:t>
      </w:r>
      <w:r w:rsidR="00C9055C">
        <w:rPr>
          <w:rFonts w:ascii="Arial" w:hAnsi="Arial" w:cs="Arial"/>
          <w:sz w:val="22"/>
          <w:szCs w:val="22"/>
          <w:lang w:val="it-CH"/>
        </w:rPr>
        <w:t>decisa dall’opponente</w:t>
      </w:r>
      <w:r w:rsidRPr="00AC0557">
        <w:rPr>
          <w:rFonts w:ascii="Arial" w:hAnsi="Arial" w:cs="Arial"/>
          <w:sz w:val="22"/>
          <w:szCs w:val="22"/>
          <w:lang w:val="it-CH"/>
        </w:rPr>
        <w:t>.</w:t>
      </w:r>
    </w:p>
    <w:p w14:paraId="170D0F5B" w14:textId="3457EB6E"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1.4. L'estratto della RM n. 5489</w:t>
      </w:r>
      <w:r w:rsidR="00C9055C">
        <w:rPr>
          <w:rFonts w:ascii="Arial" w:hAnsi="Arial" w:cs="Arial"/>
          <w:sz w:val="22"/>
          <w:szCs w:val="22"/>
          <w:lang w:val="it-CH"/>
        </w:rPr>
        <w:t xml:space="preserve"> </w:t>
      </w:r>
      <w:r w:rsidRPr="00AC0557">
        <w:rPr>
          <w:rFonts w:ascii="Arial" w:hAnsi="Arial" w:cs="Arial"/>
          <w:sz w:val="22"/>
          <w:szCs w:val="22"/>
          <w:lang w:val="it-CH"/>
        </w:rPr>
        <w:t xml:space="preserve">conferma peraltro che la revoca </w:t>
      </w:r>
      <w:r w:rsidRPr="00AC0557">
        <w:rPr>
          <w:rFonts w:ascii="Arial" w:hAnsi="Arial" w:cs="Arial"/>
          <w:b/>
          <w:bCs/>
          <w:sz w:val="22"/>
          <w:szCs w:val="22"/>
          <w:lang w:val="it-CH"/>
        </w:rPr>
        <w:t xml:space="preserve">non è affatto un semplice atto di cortesia, bensì il riconoscimento sostanziale della fondatezza delle censure </w:t>
      </w:r>
      <w:r w:rsidR="00A21B23">
        <w:rPr>
          <w:rFonts w:ascii="Arial" w:hAnsi="Arial" w:cs="Arial"/>
          <w:b/>
          <w:bCs/>
          <w:sz w:val="22"/>
          <w:szCs w:val="22"/>
          <w:lang w:val="it-CH"/>
        </w:rPr>
        <w:t>sollevate</w:t>
      </w:r>
      <w:r w:rsidRPr="00AC0557">
        <w:rPr>
          <w:rFonts w:ascii="Arial" w:hAnsi="Arial" w:cs="Arial"/>
          <w:sz w:val="22"/>
          <w:szCs w:val="22"/>
          <w:lang w:val="it-CH"/>
        </w:rPr>
        <w:t>. Il Servizio giuridico del Comune è giunto, sulla base della medesima giurisprudenza invocata dal ricorrente, alle medesime conclusioni esposte nel ricorso: assenza di base legale sufficiente, violazione ingiustificata e sproporzionata della libertà di opinione e di riunione, gratuità del servizio di polizia ex art. 10 LPol. Non sussiste dunque più, a rigore, alcuna controversia sul merito giuridico della causa: le parti sono sostanzialmente concordi. Ciò rende ancora più incongrua la richiesta municipale di ottenere lo stralcio "senza spese, tasse e ripetibili", come se la vertenza fosse divenuta priva di sostanza, quando in realtà è il Comune stesso ad aver riconosciuto, sia pure indirettamente, l'illiceità del proprio operato.</w:t>
      </w:r>
    </w:p>
    <w:p w14:paraId="170D0F5C" w14:textId="1C08DEA7" w:rsidR="00F40DC1" w:rsidRPr="00AC0557" w:rsidRDefault="009706E4">
      <w:pPr>
        <w:spacing w:before="300" w:after="200"/>
        <w:rPr>
          <w:rFonts w:ascii="Arial" w:hAnsi="Arial" w:cs="Arial"/>
          <w:lang w:val="it-CH"/>
        </w:rPr>
      </w:pPr>
      <w:r w:rsidRPr="00AC0557">
        <w:rPr>
          <w:rFonts w:ascii="Arial" w:hAnsi="Arial" w:cs="Arial"/>
          <w:b/>
          <w:bCs/>
          <w:sz w:val="22"/>
          <w:szCs w:val="22"/>
          <w:lang w:val="it-CH"/>
        </w:rPr>
        <w:t xml:space="preserve">2. </w:t>
      </w:r>
      <w:r w:rsidR="00CA1242">
        <w:rPr>
          <w:rFonts w:ascii="Arial" w:hAnsi="Arial" w:cs="Arial"/>
          <w:b/>
          <w:bCs/>
          <w:sz w:val="22"/>
          <w:szCs w:val="22"/>
          <w:lang w:val="it-CH"/>
        </w:rPr>
        <w:t>D</w:t>
      </w:r>
      <w:r w:rsidRPr="00AC0557">
        <w:rPr>
          <w:rFonts w:ascii="Arial" w:hAnsi="Arial" w:cs="Arial"/>
          <w:b/>
          <w:bCs/>
          <w:sz w:val="22"/>
          <w:szCs w:val="22"/>
          <w:lang w:val="it-CH"/>
        </w:rPr>
        <w:t>iritto a un ricorso effettivo (art. 13 CEDU)</w:t>
      </w:r>
    </w:p>
    <w:p w14:paraId="170D0F5D" w14:textId="1A35854F"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 xml:space="preserve">2.1. Il ricorso 15 giugno 2026 invoca, in modo circostanziato, la violazione della libertà di riunione e di manifestazione (art. 22 Cost., </w:t>
      </w:r>
      <w:r w:rsidRPr="00AC0557">
        <w:rPr>
          <w:rFonts w:ascii="Arial" w:hAnsi="Arial" w:cs="Arial"/>
          <w:b/>
          <w:bCs/>
          <w:sz w:val="22"/>
          <w:szCs w:val="22"/>
          <w:lang w:val="it-CH"/>
        </w:rPr>
        <w:t>art. 11 CEDU</w:t>
      </w:r>
      <w:r w:rsidRPr="00AC0557">
        <w:rPr>
          <w:rFonts w:ascii="Arial" w:hAnsi="Arial" w:cs="Arial"/>
          <w:sz w:val="22"/>
          <w:szCs w:val="22"/>
          <w:lang w:val="it-CH"/>
        </w:rPr>
        <w:t xml:space="preserve">), della libertà di opinione (art. 16 Cost., </w:t>
      </w:r>
      <w:r w:rsidRPr="00AC0557">
        <w:rPr>
          <w:rFonts w:ascii="Arial" w:hAnsi="Arial" w:cs="Arial"/>
          <w:b/>
          <w:bCs/>
          <w:sz w:val="22"/>
          <w:szCs w:val="22"/>
          <w:lang w:val="it-CH"/>
        </w:rPr>
        <w:t>art. 10 CEDU</w:t>
      </w:r>
      <w:r w:rsidRPr="00AC0557">
        <w:rPr>
          <w:rFonts w:ascii="Arial" w:hAnsi="Arial" w:cs="Arial"/>
          <w:sz w:val="22"/>
          <w:szCs w:val="22"/>
          <w:lang w:val="it-CH"/>
        </w:rPr>
        <w:t xml:space="preserve">) e del principio di legalità e proporzionalità (art. 5 e 36 Cost.). Si tratta di censure motivate in modo dettagliato </w:t>
      </w:r>
      <w:r w:rsidR="00D8049C">
        <w:rPr>
          <w:rFonts w:ascii="Arial" w:hAnsi="Arial" w:cs="Arial"/>
          <w:sz w:val="22"/>
          <w:szCs w:val="22"/>
          <w:lang w:val="it-CH"/>
        </w:rPr>
        <w:t xml:space="preserve">e </w:t>
      </w:r>
      <w:r w:rsidRPr="00AC0557">
        <w:rPr>
          <w:rFonts w:ascii="Arial" w:hAnsi="Arial" w:cs="Arial"/>
          <w:sz w:val="22"/>
          <w:szCs w:val="22"/>
          <w:lang w:val="it-CH"/>
        </w:rPr>
        <w:t>che costituiscono un "</w:t>
      </w:r>
      <w:r w:rsidRPr="00AC0557">
        <w:rPr>
          <w:rFonts w:ascii="Arial" w:hAnsi="Arial" w:cs="Arial"/>
          <w:i/>
          <w:iCs/>
          <w:sz w:val="22"/>
          <w:szCs w:val="22"/>
          <w:lang w:val="it-CH"/>
        </w:rPr>
        <w:t>grief défendable</w:t>
      </w:r>
      <w:r w:rsidRPr="00AC0557">
        <w:rPr>
          <w:rFonts w:ascii="Arial" w:hAnsi="Arial" w:cs="Arial"/>
          <w:sz w:val="22"/>
          <w:szCs w:val="22"/>
          <w:lang w:val="it-CH"/>
        </w:rPr>
        <w:t xml:space="preserve">" ai sensi della giurisprudenza sviluppata a proposito del </w:t>
      </w:r>
      <w:r w:rsidRPr="00AC0557">
        <w:rPr>
          <w:rFonts w:ascii="Arial" w:hAnsi="Arial" w:cs="Arial"/>
          <w:b/>
          <w:bCs/>
          <w:sz w:val="22"/>
          <w:szCs w:val="22"/>
          <w:lang w:val="it-CH"/>
        </w:rPr>
        <w:t>diritto a un ricorso effettivo</w:t>
      </w:r>
      <w:r w:rsidRPr="00AC0557">
        <w:rPr>
          <w:rFonts w:ascii="Arial" w:hAnsi="Arial" w:cs="Arial"/>
          <w:sz w:val="22"/>
          <w:szCs w:val="22"/>
          <w:lang w:val="it-CH"/>
        </w:rPr>
        <w:t xml:space="preserve"> (art. 13 CEDU).</w:t>
      </w:r>
    </w:p>
    <w:p w14:paraId="170D0F5E" w14:textId="68958B33"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 xml:space="preserve">2.2. Secondo costante giurisprudenza del Tribunale federale, quando il ricorrente invoca, motivandola sufficientemente, una violazione "difendibile" della CEDU, l'autorità di ricorso non può esimersi dall'esaminare il merito della censura per il solo fatto che sia venuto meno l'interesse attuale e pratico, poiché ciò equivarrebbe a privare l'interessato di qualsiasi rimedio interno effettivo, in violazione dell'art. </w:t>
      </w:r>
      <w:r w:rsidRPr="0092169B">
        <w:rPr>
          <w:rFonts w:ascii="Arial" w:hAnsi="Arial" w:cs="Arial"/>
          <w:sz w:val="22"/>
          <w:szCs w:val="22"/>
          <w:lang w:val="it-CH"/>
        </w:rPr>
        <w:t>13 CEDU (</w:t>
      </w:r>
      <w:r w:rsidRPr="00D8049C">
        <w:rPr>
          <w:rFonts w:ascii="Arial" w:hAnsi="Arial" w:cs="Arial"/>
          <w:sz w:val="22"/>
          <w:szCs w:val="22"/>
          <w:lang w:val="it-CH"/>
        </w:rPr>
        <w:t>DTF 137 I 296</w:t>
      </w:r>
      <w:r w:rsidRPr="0092169B">
        <w:rPr>
          <w:rFonts w:ascii="Arial" w:hAnsi="Arial" w:cs="Arial"/>
          <w:sz w:val="22"/>
          <w:szCs w:val="22"/>
          <w:lang w:val="it-CH"/>
        </w:rPr>
        <w:t xml:space="preserve"> consid. </w:t>
      </w:r>
      <w:r w:rsidRPr="00AC0557">
        <w:rPr>
          <w:rFonts w:ascii="Arial" w:hAnsi="Arial" w:cs="Arial"/>
          <w:sz w:val="22"/>
          <w:szCs w:val="22"/>
          <w:lang w:val="it-CH"/>
        </w:rPr>
        <w:t xml:space="preserve">4.3 e 5, con riferimento alla giurisprudenza della Corte EDU </w:t>
      </w:r>
      <w:r w:rsidRPr="00AC0557">
        <w:rPr>
          <w:rFonts w:ascii="Arial" w:hAnsi="Arial" w:cs="Arial"/>
          <w:i/>
          <w:iCs/>
          <w:sz w:val="22"/>
          <w:szCs w:val="22"/>
          <w:lang w:val="it-CH"/>
        </w:rPr>
        <w:t>Camenzind c. Svizzera</w:t>
      </w:r>
      <w:r w:rsidRPr="00AC0557">
        <w:rPr>
          <w:rFonts w:ascii="Arial" w:hAnsi="Arial" w:cs="Arial"/>
          <w:sz w:val="22"/>
          <w:szCs w:val="22"/>
          <w:lang w:val="it-CH"/>
        </w:rPr>
        <w:t xml:space="preserve"> e </w:t>
      </w:r>
      <w:r w:rsidRPr="00AC0557">
        <w:rPr>
          <w:rFonts w:ascii="Arial" w:hAnsi="Arial" w:cs="Arial"/>
          <w:i/>
          <w:iCs/>
          <w:sz w:val="22"/>
          <w:szCs w:val="22"/>
          <w:lang w:val="it-CH"/>
        </w:rPr>
        <w:t>Kaiser c. Svizzera</w:t>
      </w:r>
      <w:r w:rsidRPr="00AC0557">
        <w:rPr>
          <w:rFonts w:ascii="Arial" w:hAnsi="Arial" w:cs="Arial"/>
          <w:sz w:val="22"/>
          <w:szCs w:val="22"/>
          <w:lang w:val="it-CH"/>
        </w:rPr>
        <w:t>). Questo principio</w:t>
      </w:r>
      <w:r w:rsidR="00D8049C">
        <w:rPr>
          <w:rFonts w:ascii="Arial" w:hAnsi="Arial" w:cs="Arial"/>
          <w:sz w:val="22"/>
          <w:szCs w:val="22"/>
          <w:lang w:val="it-CH"/>
        </w:rPr>
        <w:t xml:space="preserve"> </w:t>
      </w:r>
      <w:r w:rsidRPr="00AC0557">
        <w:rPr>
          <w:rFonts w:ascii="Arial" w:hAnsi="Arial" w:cs="Arial"/>
          <w:sz w:val="22"/>
          <w:szCs w:val="22"/>
          <w:lang w:val="it-CH"/>
        </w:rPr>
        <w:t>impone che le censure che potrebbero essere sollevate dinanzi alla Corte EDU – la quale non subordina la ricevibilità del ricorso a un interesse attuale – siano esaminate previamente dalle autorità nazionali.</w:t>
      </w:r>
    </w:p>
    <w:p w14:paraId="170D0F5F" w14:textId="541E53D6"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 xml:space="preserve">2.3. Il Tribunale federale ha di recente ribadito e </w:t>
      </w:r>
      <w:r w:rsidRPr="00AC0557">
        <w:rPr>
          <w:rFonts w:ascii="Arial" w:hAnsi="Arial" w:cs="Arial"/>
          <w:b/>
          <w:bCs/>
          <w:sz w:val="22"/>
          <w:szCs w:val="22"/>
          <w:lang w:val="it-CH"/>
        </w:rPr>
        <w:t>esteso espressamente questo obbligo alle autorità cantonali di ricorso</w:t>
      </w:r>
      <w:r w:rsidRPr="00AC0557">
        <w:rPr>
          <w:rFonts w:ascii="Arial" w:hAnsi="Arial" w:cs="Arial"/>
          <w:sz w:val="22"/>
          <w:szCs w:val="22"/>
          <w:lang w:val="it-CH"/>
        </w:rPr>
        <w:t xml:space="preserve">: nella sentenza </w:t>
      </w:r>
      <w:r w:rsidRPr="00AC0557">
        <w:rPr>
          <w:rFonts w:ascii="Arial" w:hAnsi="Arial" w:cs="Arial"/>
          <w:b/>
          <w:bCs/>
          <w:sz w:val="22"/>
          <w:szCs w:val="22"/>
          <w:lang w:val="it-CH"/>
        </w:rPr>
        <w:t>TF 5A_236/2026 del 3 luglio 2026</w:t>
      </w:r>
      <w:r w:rsidRPr="00AC0557">
        <w:rPr>
          <w:rFonts w:ascii="Arial" w:hAnsi="Arial" w:cs="Arial"/>
          <w:sz w:val="22"/>
          <w:szCs w:val="22"/>
          <w:lang w:val="it-CH"/>
        </w:rPr>
        <w:t xml:space="preserve"> (consid. </w:t>
      </w:r>
      <w:r w:rsidRPr="00E91E90">
        <w:rPr>
          <w:rFonts w:ascii="Arial" w:hAnsi="Arial" w:cs="Arial"/>
          <w:sz w:val="22"/>
          <w:szCs w:val="22"/>
          <w:lang w:val="fr-CH"/>
        </w:rPr>
        <w:t>5), esso ha statuito che, "</w:t>
      </w:r>
      <w:r w:rsidRPr="00E91E90">
        <w:rPr>
          <w:rFonts w:ascii="Arial" w:hAnsi="Arial" w:cs="Arial"/>
          <w:i/>
          <w:iCs/>
          <w:sz w:val="22"/>
          <w:szCs w:val="22"/>
          <w:lang w:val="fr-CH"/>
        </w:rPr>
        <w:t>dans la mesure où le Tribunal fédéral examine le recours au fond malgré la perte de l'intérêt actuel du recourant lorsqu'il se prévaut, en le motivant suffisamment, d'un 'grief défendable' fondé sur la CEDH, il incombe à l'autorité cantonale d'entrer également en matière sur le recours dans les mêmes circonstances</w:t>
      </w:r>
      <w:r w:rsidRPr="00E91E90">
        <w:rPr>
          <w:rFonts w:ascii="Arial" w:hAnsi="Arial" w:cs="Arial"/>
          <w:sz w:val="22"/>
          <w:szCs w:val="22"/>
          <w:lang w:val="fr-CH"/>
        </w:rPr>
        <w:t>".</w:t>
      </w:r>
      <w:r w:rsidR="00E91E90">
        <w:rPr>
          <w:rFonts w:ascii="Arial" w:hAnsi="Arial" w:cs="Arial"/>
          <w:sz w:val="22"/>
          <w:szCs w:val="22"/>
          <w:lang w:val="fr-CH"/>
        </w:rPr>
        <w:t xml:space="preserve"> </w:t>
      </w:r>
      <w:r w:rsidR="00E91E90" w:rsidRPr="00E91E90">
        <w:rPr>
          <w:rFonts w:ascii="Arial" w:hAnsi="Arial" w:cs="Arial"/>
          <w:sz w:val="22"/>
          <w:szCs w:val="22"/>
          <w:lang w:val="it-CH"/>
        </w:rPr>
        <w:t>In</w:t>
      </w:r>
      <w:r w:rsidR="00E91E90">
        <w:rPr>
          <w:rFonts w:ascii="Arial" w:hAnsi="Arial" w:cs="Arial"/>
          <w:sz w:val="22"/>
          <w:szCs w:val="22"/>
          <w:lang w:val="it-CH"/>
        </w:rPr>
        <w:t xml:space="preserve"> questo caso il</w:t>
      </w:r>
      <w:r w:rsidRPr="00E91E90">
        <w:rPr>
          <w:rFonts w:ascii="Arial" w:hAnsi="Arial" w:cs="Arial"/>
          <w:sz w:val="22"/>
          <w:szCs w:val="22"/>
          <w:lang w:val="it-CH"/>
        </w:rPr>
        <w:t xml:space="preserve"> </w:t>
      </w:r>
      <w:r w:rsidRPr="00AC0557">
        <w:rPr>
          <w:rFonts w:ascii="Arial" w:hAnsi="Arial" w:cs="Arial"/>
          <w:sz w:val="22"/>
          <w:szCs w:val="22"/>
          <w:lang w:val="it-CH"/>
        </w:rPr>
        <w:t xml:space="preserve">Tribunale federale ha annullato la decisione dell'istanza cantonale che si era limitata a dichiarare il ricorso privo di oggetto senza esaminarne il merito, qualificando tale omissione come un </w:t>
      </w:r>
      <w:r w:rsidRPr="00AC0557">
        <w:rPr>
          <w:rFonts w:ascii="Arial" w:hAnsi="Arial" w:cs="Arial"/>
          <w:b/>
          <w:bCs/>
          <w:sz w:val="22"/>
          <w:szCs w:val="22"/>
          <w:lang w:val="it-CH"/>
        </w:rPr>
        <w:t>diniego di giustizia formale</w:t>
      </w:r>
      <w:r w:rsidRPr="00AC0557">
        <w:rPr>
          <w:rFonts w:ascii="Arial" w:hAnsi="Arial" w:cs="Arial"/>
          <w:sz w:val="22"/>
          <w:szCs w:val="22"/>
          <w:lang w:val="it-CH"/>
        </w:rPr>
        <w:t>.</w:t>
      </w:r>
    </w:p>
    <w:p w14:paraId="170D0F60" w14:textId="236841CA"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 xml:space="preserve">2.4. Questi principi si applicano integralmente al presente procedimento. Il ricorrente ha sollevato, con motivazione dettagliata, censure fondate sugli art. 10 e 11 CEDU. Se il Consiglio di Stato si limitasse a stralciare la causa in ragione della revoca parziale intervenuta ad opera del Comune, </w:t>
      </w:r>
      <w:r w:rsidRPr="00AC0557">
        <w:rPr>
          <w:rFonts w:ascii="Arial" w:hAnsi="Arial" w:cs="Arial"/>
          <w:b/>
          <w:bCs/>
          <w:sz w:val="22"/>
          <w:szCs w:val="22"/>
          <w:lang w:val="it-CH"/>
        </w:rPr>
        <w:t xml:space="preserve">nessuna autorità nazionale si </w:t>
      </w:r>
      <w:r w:rsidR="00E91E90">
        <w:rPr>
          <w:rFonts w:ascii="Arial" w:hAnsi="Arial" w:cs="Arial"/>
          <w:b/>
          <w:bCs/>
          <w:sz w:val="22"/>
          <w:szCs w:val="22"/>
          <w:lang w:val="it-CH"/>
        </w:rPr>
        <w:t>potrebbe</w:t>
      </w:r>
      <w:r w:rsidRPr="00AC0557">
        <w:rPr>
          <w:rFonts w:ascii="Arial" w:hAnsi="Arial" w:cs="Arial"/>
          <w:b/>
          <w:bCs/>
          <w:sz w:val="22"/>
          <w:szCs w:val="22"/>
          <w:lang w:val="it-CH"/>
        </w:rPr>
        <w:t xml:space="preserve"> pronuncia</w:t>
      </w:r>
      <w:r w:rsidR="00B64E66">
        <w:rPr>
          <w:rFonts w:ascii="Arial" w:hAnsi="Arial" w:cs="Arial"/>
          <w:b/>
          <w:bCs/>
          <w:sz w:val="22"/>
          <w:szCs w:val="22"/>
          <w:lang w:val="it-CH"/>
        </w:rPr>
        <w:t>re</w:t>
      </w:r>
      <w:r w:rsidRPr="00AC0557">
        <w:rPr>
          <w:rFonts w:ascii="Arial" w:hAnsi="Arial" w:cs="Arial"/>
          <w:sz w:val="22"/>
          <w:szCs w:val="22"/>
          <w:lang w:val="it-CH"/>
        </w:rPr>
        <w:t xml:space="preserve"> sulla compatibilità della prassi comunale con la libertà di riunione, di opinione e di manifestazione. Un simile esito priverebbe il ricorrente di un ricorso effettivo </w:t>
      </w:r>
      <w:r w:rsidRPr="00AC0557">
        <w:rPr>
          <w:rFonts w:ascii="Arial" w:hAnsi="Arial" w:cs="Arial"/>
          <w:sz w:val="22"/>
          <w:szCs w:val="22"/>
          <w:lang w:val="it-CH"/>
        </w:rPr>
        <w:lastRenderedPageBreak/>
        <w:t>ai sensi dell'art. 13 CEDU e lo esporrebbe all'unica alternativa di adire la Corte europea dei diritti dell'uomo, la quale esaminerebbe con ogni probabilità la causa nel merito, con il rischio di un accertamento di violazione della Convenzione imputabile anche alla mancata presa di posizione dell'autorità cantonale.</w:t>
      </w:r>
    </w:p>
    <w:p w14:paraId="170D0F61" w14:textId="24132AFF" w:rsidR="00F40DC1" w:rsidRPr="00EF72C6" w:rsidRDefault="009706E4">
      <w:pPr>
        <w:spacing w:before="300" w:after="200"/>
        <w:rPr>
          <w:rFonts w:ascii="Arial" w:hAnsi="Arial" w:cs="Arial"/>
          <w:b/>
          <w:bCs/>
          <w:lang w:val="it-CH"/>
        </w:rPr>
      </w:pPr>
      <w:r w:rsidRPr="00EF72C6">
        <w:rPr>
          <w:rFonts w:ascii="Arial" w:hAnsi="Arial" w:cs="Arial"/>
          <w:b/>
          <w:bCs/>
          <w:sz w:val="22"/>
          <w:szCs w:val="22"/>
          <w:lang w:val="it-CH"/>
        </w:rPr>
        <w:t xml:space="preserve">3. </w:t>
      </w:r>
      <w:r w:rsidR="00EF72C6" w:rsidRPr="00EF72C6">
        <w:rPr>
          <w:rFonts w:ascii="Arial" w:hAnsi="Arial" w:cs="Arial"/>
          <w:b/>
          <w:bCs/>
          <w:sz w:val="22"/>
          <w:szCs w:val="22"/>
          <w:lang w:val="it-CH"/>
        </w:rPr>
        <w:t>Rinuncia all'esigenza dell'interesse attuale e pratico</w:t>
      </w:r>
    </w:p>
    <w:p w14:paraId="170D0F62" w14:textId="77777777"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 xml:space="preserve">3.1. Indipendentemente dal profilo convenzionale, la giurisprudenza svizzera rinuncia all'esigenza dell'interesse attuale e pratico anche quando la situazione all'origine della controversia sia </w:t>
      </w:r>
      <w:r w:rsidRPr="00AC0557">
        <w:rPr>
          <w:rFonts w:ascii="Arial" w:hAnsi="Arial" w:cs="Arial"/>
          <w:b/>
          <w:bCs/>
          <w:sz w:val="22"/>
          <w:szCs w:val="22"/>
          <w:lang w:val="it-CH"/>
        </w:rPr>
        <w:t>suscettibile di ripresentarsi in futuro</w:t>
      </w:r>
      <w:r w:rsidRPr="00AC0557">
        <w:rPr>
          <w:rFonts w:ascii="Arial" w:hAnsi="Arial" w:cs="Arial"/>
          <w:sz w:val="22"/>
          <w:szCs w:val="22"/>
          <w:lang w:val="it-CH"/>
        </w:rPr>
        <w:t xml:space="preserve"> e il controllo giudiziario tempestivo risulti </w:t>
      </w:r>
      <w:r w:rsidRPr="00AC0557">
        <w:rPr>
          <w:rFonts w:ascii="Arial" w:hAnsi="Arial" w:cs="Arial"/>
          <w:b/>
          <w:bCs/>
          <w:sz w:val="22"/>
          <w:szCs w:val="22"/>
          <w:lang w:val="it-CH"/>
        </w:rPr>
        <w:t>praticamente impossibile</w:t>
      </w:r>
      <w:r w:rsidRPr="00AC0557">
        <w:rPr>
          <w:rFonts w:ascii="Arial" w:hAnsi="Arial" w:cs="Arial"/>
          <w:sz w:val="22"/>
          <w:szCs w:val="22"/>
          <w:lang w:val="it-CH"/>
        </w:rPr>
        <w:t xml:space="preserve"> (cosiddetto interesse virtuale). Questo principio è stato applicato dal Tribunale federale proprio in materia di autorizzazioni a manifestare: nella causa </w:t>
      </w:r>
      <w:r w:rsidRPr="00EF72C6">
        <w:rPr>
          <w:rFonts w:ascii="Arial" w:hAnsi="Arial" w:cs="Arial"/>
          <w:sz w:val="22"/>
          <w:szCs w:val="22"/>
          <w:lang w:val="it-CH"/>
        </w:rPr>
        <w:t>DTF 99 Ia 689</w:t>
      </w:r>
      <w:r w:rsidRPr="00AC0557">
        <w:rPr>
          <w:rFonts w:ascii="Arial" w:hAnsi="Arial" w:cs="Arial"/>
          <w:sz w:val="22"/>
          <w:szCs w:val="22"/>
          <w:lang w:val="it-CH"/>
        </w:rPr>
        <w:t xml:space="preserve"> consid. 3, il Tribunale federale è entrato nel merito di un ricorso concernente il diniego di un'autorizzazione a manifestare benché la data della manifestazione fosse nel frattempo trascorsa, precisando che l'esigenza dell'interesse attuale viene meno quando essa "</w:t>
      </w:r>
      <w:r w:rsidRPr="0040642E">
        <w:rPr>
          <w:rFonts w:ascii="Arial" w:hAnsi="Arial" w:cs="Arial"/>
          <w:i/>
          <w:iCs/>
          <w:sz w:val="22"/>
          <w:szCs w:val="22"/>
          <w:lang w:val="it-CH"/>
        </w:rPr>
        <w:t>fait obstacle au contrôle de la constitutionnalité d'un acte qui peut se reproduire dans les mêmes conditions</w:t>
      </w:r>
      <w:r w:rsidRPr="00AC0557">
        <w:rPr>
          <w:rFonts w:ascii="Arial" w:hAnsi="Arial" w:cs="Arial"/>
          <w:sz w:val="22"/>
          <w:szCs w:val="22"/>
          <w:lang w:val="it-CH"/>
        </w:rPr>
        <w:t>".</w:t>
      </w:r>
    </w:p>
    <w:p w14:paraId="170D0F63" w14:textId="72C0C474" w:rsidR="00F40DC1" w:rsidRPr="00EA4E87" w:rsidRDefault="009706E4" w:rsidP="00EA4E87">
      <w:pPr>
        <w:spacing w:after="160" w:line="276" w:lineRule="auto"/>
        <w:ind w:left="500" w:hanging="500"/>
        <w:jc w:val="both"/>
        <w:rPr>
          <w:rFonts w:ascii="Arial" w:hAnsi="Arial" w:cs="Arial"/>
          <w:sz w:val="22"/>
          <w:szCs w:val="22"/>
          <w:lang w:val="it-CH"/>
        </w:rPr>
      </w:pPr>
      <w:r w:rsidRPr="00AC0557">
        <w:rPr>
          <w:rFonts w:ascii="Arial" w:hAnsi="Arial" w:cs="Arial"/>
          <w:sz w:val="22"/>
          <w:szCs w:val="22"/>
          <w:lang w:val="it-CH"/>
        </w:rPr>
        <w:t xml:space="preserve">3.2. </w:t>
      </w:r>
      <w:r w:rsidR="00EA4E87">
        <w:rPr>
          <w:rFonts w:ascii="Arial" w:hAnsi="Arial" w:cs="Arial"/>
          <w:sz w:val="22"/>
          <w:szCs w:val="22"/>
          <w:lang w:val="it-CH"/>
        </w:rPr>
        <w:t xml:space="preserve">Anche </w:t>
      </w:r>
      <w:r w:rsidRPr="00AC0557">
        <w:rPr>
          <w:rFonts w:ascii="Arial" w:hAnsi="Arial" w:cs="Arial"/>
          <w:sz w:val="22"/>
          <w:szCs w:val="22"/>
          <w:lang w:val="it-CH"/>
        </w:rPr>
        <w:t>la giurisprudenza ticinese</w:t>
      </w:r>
      <w:r w:rsidR="00EA4E87">
        <w:rPr>
          <w:rFonts w:ascii="Arial" w:hAnsi="Arial" w:cs="Arial"/>
          <w:sz w:val="22"/>
          <w:szCs w:val="22"/>
          <w:lang w:val="it-CH"/>
        </w:rPr>
        <w:t xml:space="preserve"> </w:t>
      </w:r>
      <w:r w:rsidRPr="00AC0557">
        <w:rPr>
          <w:rFonts w:ascii="Arial" w:hAnsi="Arial" w:cs="Arial"/>
          <w:sz w:val="22"/>
          <w:szCs w:val="22"/>
          <w:lang w:val="it-CH"/>
        </w:rPr>
        <w:t xml:space="preserve">subordina il riconoscimento dell'interesse virtuale a un duplice presupposto: (a) l'esistenza di un interesse pubblico sufficientemente importante al chiarimento di una situazione suscettibile di ripresentarsi in futuro; e (b) l'impossibilità pratica di un controllo giudiziario tempestivo (Camera di protezione del Tribunale d'appello TI, inc. </w:t>
      </w:r>
      <w:r w:rsidRPr="00BF7054">
        <w:rPr>
          <w:rFonts w:ascii="Arial" w:hAnsi="Arial" w:cs="Arial"/>
          <w:sz w:val="22"/>
          <w:szCs w:val="22"/>
          <w:lang w:val="it-CH"/>
        </w:rPr>
        <w:t>9.2014.154</w:t>
      </w:r>
      <w:r w:rsidRPr="00AC0557">
        <w:rPr>
          <w:rFonts w:ascii="Arial" w:hAnsi="Arial" w:cs="Arial"/>
          <w:sz w:val="22"/>
          <w:szCs w:val="22"/>
          <w:lang w:val="it-CH"/>
        </w:rPr>
        <w:t xml:space="preserve"> del 6 ottobre 2014, consid. 2.3, con riferimento a DTF 140 III 92 e 136 III 497).</w:t>
      </w:r>
    </w:p>
    <w:p w14:paraId="170D0F64" w14:textId="3547A914"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3.3. Entrambi i presupposti sono adempiuti nel caso concreto. Da un lato, il MPS è un movimento politico che organizza regolarmente manifestazioni sul suolo pubblico e continuerà a farlo; la questione della liceità dell'addossamento agli organizzatori dei costi del servizio di gestione del traffico, in assenza di una base legale cantonale pertinente,</w:t>
      </w:r>
      <w:r w:rsidR="009D447F">
        <w:rPr>
          <w:rFonts w:ascii="Arial" w:hAnsi="Arial" w:cs="Arial"/>
          <w:sz w:val="22"/>
          <w:szCs w:val="22"/>
          <w:lang w:val="it-CH"/>
        </w:rPr>
        <w:t xml:space="preserve"> </w:t>
      </w:r>
      <w:r w:rsidRPr="00AC0557">
        <w:rPr>
          <w:rFonts w:ascii="Arial" w:hAnsi="Arial" w:cs="Arial"/>
          <w:sz w:val="22"/>
          <w:szCs w:val="22"/>
          <w:lang w:val="it-CH"/>
        </w:rPr>
        <w:t xml:space="preserve">riveste un interesse pubblico che travalica il caso singolo e concerne l'esercizio dei diritti politici in generale. Dall'altro, </w:t>
      </w:r>
      <w:r w:rsidR="00BA7ACD">
        <w:rPr>
          <w:rFonts w:ascii="Arial" w:hAnsi="Arial" w:cs="Arial"/>
          <w:sz w:val="22"/>
          <w:szCs w:val="22"/>
          <w:lang w:val="it-CH"/>
        </w:rPr>
        <w:t xml:space="preserve">le caratteristiche del caso in esame </w:t>
      </w:r>
      <w:r w:rsidRPr="00AC0557">
        <w:rPr>
          <w:rFonts w:ascii="Arial" w:hAnsi="Arial" w:cs="Arial"/>
          <w:sz w:val="22"/>
          <w:szCs w:val="22"/>
          <w:lang w:val="it-CH"/>
        </w:rPr>
        <w:t xml:space="preserve">– autorizzazione condizionata, fatturazione a distanza di settimane, reclamo, decisione su reclamo, ricorso, e </w:t>
      </w:r>
      <w:r w:rsidRPr="0032556C">
        <w:rPr>
          <w:rFonts w:ascii="Arial" w:hAnsi="Arial" w:cs="Arial"/>
          <w:sz w:val="22"/>
          <w:szCs w:val="22"/>
          <w:lang w:val="it-CH"/>
        </w:rPr>
        <w:t>revoca parziale del Comune proprio allo scadere del termine di risposta</w:t>
      </w:r>
      <w:r w:rsidRPr="00AC0557">
        <w:rPr>
          <w:rFonts w:ascii="Arial" w:hAnsi="Arial" w:cs="Arial"/>
          <w:sz w:val="22"/>
          <w:szCs w:val="22"/>
          <w:lang w:val="it-CH"/>
        </w:rPr>
        <w:t xml:space="preserve"> – dimostra che un controllo giudiziario tempestivo e definitivo di questa prassi è, nei fatti, sistematicamente eluso. Se il Consiglio di Stato accogliesse la richiesta di stralcio, il Comune di Mendrisio potrebbe reiterare la medesima prassi nei confronti del ricorrente o di altri organizzatori, revocando puntualmente la propria decisione ogniqualvolta un ricorso rischi di sfociare in una pronuncia di merito sfavorevole, senza che la questione venga mai definitivamente chiarita.</w:t>
      </w:r>
    </w:p>
    <w:p w14:paraId="170D0F65" w14:textId="77777777" w:rsidR="00F40DC1" w:rsidRPr="00AC0557" w:rsidRDefault="009706E4">
      <w:pPr>
        <w:spacing w:before="300" w:after="200"/>
        <w:rPr>
          <w:rFonts w:ascii="Arial" w:hAnsi="Arial" w:cs="Arial"/>
          <w:lang w:val="it-CH"/>
        </w:rPr>
      </w:pPr>
      <w:r w:rsidRPr="00AC0557">
        <w:rPr>
          <w:rFonts w:ascii="Arial" w:hAnsi="Arial" w:cs="Arial"/>
          <w:b/>
          <w:bCs/>
          <w:sz w:val="22"/>
          <w:szCs w:val="22"/>
          <w:lang w:val="it-CH"/>
        </w:rPr>
        <w:t>4. L'effetto dissuasivo (chilling effect) sull'esercizio dei diritti politici</w:t>
      </w:r>
    </w:p>
    <w:p w14:paraId="170D0F66" w14:textId="77777777"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 xml:space="preserve">4.1. Come già evidenziato nel ricorso 15 giugno 2026 (cifra C.3.3), la Corte EDU ha ribadito, da ultimo nella sentenza </w:t>
      </w:r>
      <w:r w:rsidRPr="00AC0557">
        <w:rPr>
          <w:rFonts w:ascii="Arial" w:hAnsi="Arial" w:cs="Arial"/>
          <w:i/>
          <w:iCs/>
          <w:sz w:val="22"/>
          <w:szCs w:val="22"/>
          <w:lang w:val="it-CH"/>
        </w:rPr>
        <w:t>Batou c. Svizzera</w:t>
      </w:r>
      <w:r w:rsidRPr="00AC0557">
        <w:rPr>
          <w:rFonts w:ascii="Arial" w:hAnsi="Arial" w:cs="Arial"/>
          <w:sz w:val="22"/>
          <w:szCs w:val="22"/>
          <w:lang w:val="it-CH"/>
        </w:rPr>
        <w:t xml:space="preserve"> (causa n. 30781/22, decisione del 7 maggio 2026, § 88), che l'imposizione di oneri finanziari connessi all'esercizio della libertà di riunione produce un effetto dissuasivo ("chilling effect") che scoraggia non solo il ricorrente, ma anche altre persone, dall'organizzare manifestazioni pubbliche in futuro.</w:t>
      </w:r>
    </w:p>
    <w:p w14:paraId="170D0F67" w14:textId="56FE423B"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 xml:space="preserve">4.2. Un diniego di pronuncia nel merito, motivato dalla sola revoca tardiva e parziale disposta dal Comune, produrrebbe un effetto del tutto analogo: esso confermerebbe, nei fatti, che </w:t>
      </w:r>
      <w:r w:rsidRPr="00AC0557">
        <w:rPr>
          <w:rFonts w:ascii="Arial" w:hAnsi="Arial" w:cs="Arial"/>
          <w:sz w:val="22"/>
          <w:szCs w:val="22"/>
          <w:lang w:val="it-CH"/>
        </w:rPr>
        <w:lastRenderedPageBreak/>
        <w:t>un'autorità comunale può imporre oneri finanziari sprovvisti di base legale agli organizzatori di manifestazioni politiche</w:t>
      </w:r>
      <w:r w:rsidR="00825E33">
        <w:rPr>
          <w:rFonts w:ascii="Arial" w:hAnsi="Arial" w:cs="Arial"/>
          <w:sz w:val="22"/>
          <w:szCs w:val="22"/>
          <w:lang w:val="it-CH"/>
        </w:rPr>
        <w:t>, costringendoli a pagare o a contestare in giudizio con il rischio di vedersi annullare l’autorizzazione</w:t>
      </w:r>
      <w:r w:rsidRPr="00AC0557">
        <w:rPr>
          <w:rFonts w:ascii="Arial" w:hAnsi="Arial" w:cs="Arial"/>
          <w:sz w:val="22"/>
          <w:szCs w:val="22"/>
          <w:lang w:val="it-CH"/>
        </w:rPr>
        <w:t xml:space="preserve">, salvo poi </w:t>
      </w:r>
      <w:r w:rsidR="00A03A86">
        <w:rPr>
          <w:rFonts w:ascii="Arial" w:hAnsi="Arial" w:cs="Arial"/>
          <w:sz w:val="22"/>
          <w:szCs w:val="22"/>
          <w:lang w:val="it-CH"/>
        </w:rPr>
        <w:t>eludere</w:t>
      </w:r>
      <w:r w:rsidRPr="00AC0557">
        <w:rPr>
          <w:rFonts w:ascii="Arial" w:hAnsi="Arial" w:cs="Arial"/>
          <w:sz w:val="22"/>
          <w:szCs w:val="22"/>
          <w:lang w:val="it-CH"/>
        </w:rPr>
        <w:t xml:space="preserve"> ogni verifica giudiziaria attraverso una revoca dell'ultima ora, senza mai dover rispondere nel merito delle censure di illegittimità sollevate. Un simile esito sarebbe incompatibile tanto con l'art. 13 CEDU</w:t>
      </w:r>
      <w:r w:rsidR="00A03A86">
        <w:rPr>
          <w:rFonts w:ascii="Arial" w:hAnsi="Arial" w:cs="Arial"/>
          <w:sz w:val="22"/>
          <w:szCs w:val="22"/>
          <w:lang w:val="it-CH"/>
        </w:rPr>
        <w:t xml:space="preserve">, con i diritti fondamentali e </w:t>
      </w:r>
      <w:r w:rsidRPr="00AC0557">
        <w:rPr>
          <w:rFonts w:ascii="Arial" w:hAnsi="Arial" w:cs="Arial"/>
          <w:sz w:val="22"/>
          <w:szCs w:val="22"/>
          <w:lang w:val="it-CH"/>
        </w:rPr>
        <w:t>con la funzione stessa del controllo giurisdizionale in materia di diritti fondamentali.</w:t>
      </w:r>
    </w:p>
    <w:p w14:paraId="170D0F68" w14:textId="58A5C04B" w:rsidR="00F40DC1" w:rsidRPr="00AC0557" w:rsidRDefault="009706E4" w:rsidP="00A03A86">
      <w:pPr>
        <w:spacing w:before="300" w:after="200"/>
        <w:jc w:val="both"/>
        <w:rPr>
          <w:rFonts w:ascii="Arial" w:hAnsi="Arial" w:cs="Arial"/>
          <w:lang w:val="it-CH"/>
        </w:rPr>
      </w:pPr>
      <w:r w:rsidRPr="00AC0557">
        <w:rPr>
          <w:rFonts w:ascii="Arial" w:hAnsi="Arial" w:cs="Arial"/>
          <w:b/>
          <w:bCs/>
          <w:sz w:val="22"/>
          <w:szCs w:val="22"/>
          <w:lang w:val="it-CH"/>
        </w:rPr>
        <w:t xml:space="preserve">5. </w:t>
      </w:r>
      <w:r w:rsidR="00A03A86">
        <w:rPr>
          <w:rFonts w:ascii="Arial" w:hAnsi="Arial" w:cs="Arial"/>
          <w:b/>
          <w:bCs/>
          <w:sz w:val="22"/>
          <w:szCs w:val="22"/>
          <w:lang w:val="it-CH"/>
        </w:rPr>
        <w:t>S</w:t>
      </w:r>
      <w:r w:rsidRPr="00AC0557">
        <w:rPr>
          <w:rFonts w:ascii="Arial" w:hAnsi="Arial" w:cs="Arial"/>
          <w:b/>
          <w:bCs/>
          <w:sz w:val="22"/>
          <w:szCs w:val="22"/>
          <w:lang w:val="it-CH"/>
        </w:rPr>
        <w:t xml:space="preserve">pese, la tassa di giustizia e le ripetibili a carico del Comune di </w:t>
      </w:r>
      <w:r w:rsidR="00FF1820">
        <w:rPr>
          <w:rFonts w:ascii="Arial" w:hAnsi="Arial" w:cs="Arial"/>
          <w:b/>
          <w:bCs/>
          <w:sz w:val="22"/>
          <w:szCs w:val="22"/>
          <w:lang w:val="it-CH"/>
        </w:rPr>
        <w:t>Mendrisio</w:t>
      </w:r>
    </w:p>
    <w:p w14:paraId="170D0F69" w14:textId="5BB2FD95"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5.1. La LPAmm non disciplina espressamente la ripartizione delle spese in caso di causa divenuta priva di oggetto; in tali casi</w:t>
      </w:r>
      <w:r w:rsidR="00FF1820">
        <w:rPr>
          <w:rFonts w:ascii="Arial" w:hAnsi="Arial" w:cs="Arial"/>
          <w:sz w:val="22"/>
          <w:szCs w:val="22"/>
          <w:lang w:val="it-CH"/>
        </w:rPr>
        <w:t xml:space="preserve"> </w:t>
      </w:r>
      <w:r w:rsidRPr="00AC0557">
        <w:rPr>
          <w:rFonts w:ascii="Arial" w:hAnsi="Arial" w:cs="Arial"/>
          <w:sz w:val="22"/>
          <w:szCs w:val="22"/>
          <w:lang w:val="it-CH"/>
        </w:rPr>
        <w:t xml:space="preserve">l'autorità di ricorso decide secondo l'esito presumibile della causa, tenuto conto di chi abbia dato origine alla controversia. Nel merito, tuttavia, la ripartizione delle spese e delle ripetibili nel presente procedimento è comunque retta direttamente dagli </w:t>
      </w:r>
      <w:r w:rsidRPr="00AC0557">
        <w:rPr>
          <w:rFonts w:ascii="Arial" w:hAnsi="Arial" w:cs="Arial"/>
          <w:b/>
          <w:bCs/>
          <w:sz w:val="22"/>
          <w:szCs w:val="22"/>
          <w:lang w:val="it-CH"/>
        </w:rPr>
        <w:t>art. 47 e 49 LPAmm</w:t>
      </w:r>
      <w:r w:rsidRPr="00AC0557">
        <w:rPr>
          <w:rFonts w:ascii="Arial" w:hAnsi="Arial" w:cs="Arial"/>
          <w:sz w:val="22"/>
          <w:szCs w:val="22"/>
          <w:lang w:val="it-CH"/>
        </w:rPr>
        <w:t>, le cui condizioni sono di seguito esaminate.</w:t>
      </w:r>
    </w:p>
    <w:p w14:paraId="170D0F6A" w14:textId="45113C15"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 xml:space="preserve">5.2. Quanto alla </w:t>
      </w:r>
      <w:r w:rsidRPr="00AC0557">
        <w:rPr>
          <w:rFonts w:ascii="Arial" w:hAnsi="Arial" w:cs="Arial"/>
          <w:b/>
          <w:bCs/>
          <w:sz w:val="22"/>
          <w:szCs w:val="22"/>
          <w:lang w:val="it-CH"/>
        </w:rPr>
        <w:t>tassa di giustizia</w:t>
      </w:r>
      <w:r w:rsidR="0060609D">
        <w:rPr>
          <w:rFonts w:ascii="Arial" w:hAnsi="Arial" w:cs="Arial"/>
          <w:sz w:val="22"/>
          <w:szCs w:val="22"/>
          <w:lang w:val="it-CH"/>
        </w:rPr>
        <w:t xml:space="preserve">, l’art. 47 cpv. 6 LPamm </w:t>
      </w:r>
      <w:r w:rsidRPr="00AC0557">
        <w:rPr>
          <w:rFonts w:ascii="Arial" w:hAnsi="Arial" w:cs="Arial"/>
          <w:sz w:val="22"/>
          <w:szCs w:val="22"/>
          <w:lang w:val="it-CH"/>
        </w:rPr>
        <w:t>stabilisce che, di principio, agli enti pubblici non vengono addossate spese processuali, ma che restano riservate le "</w:t>
      </w:r>
      <w:r w:rsidRPr="00AC0557">
        <w:rPr>
          <w:rFonts w:ascii="Arial" w:hAnsi="Arial" w:cs="Arial"/>
          <w:i/>
          <w:iCs/>
          <w:sz w:val="22"/>
          <w:szCs w:val="22"/>
          <w:lang w:val="it-CH"/>
        </w:rPr>
        <w:t>procedure in cui agiscono a tutela dei loro interessi pecuniari</w:t>
      </w:r>
      <w:r w:rsidRPr="00AC0557">
        <w:rPr>
          <w:rFonts w:ascii="Arial" w:hAnsi="Arial" w:cs="Arial"/>
          <w:sz w:val="22"/>
          <w:szCs w:val="22"/>
          <w:lang w:val="it-CH"/>
        </w:rPr>
        <w:t>". È esattamente il caso di specie: il Comune di Mendrisio non ha agito quale autorità che esercita un compito di polizia nell'interesse generale, bensì per recuperare, tramite fatturazione, un proprio credito pecuniario di CHF 648.60 nei confronti del ricorrente. La riserva dell'art. 47 cpv. 6 in fine LPAmm trova quindi applicazione, e nulla osta a che la tassa di giustizia sia posta a carico del Comune.</w:t>
      </w:r>
    </w:p>
    <w:p w14:paraId="170D0F6B" w14:textId="367758C2"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 xml:space="preserve">5.3. Quanto alle </w:t>
      </w:r>
      <w:r w:rsidRPr="00AC0557">
        <w:rPr>
          <w:rFonts w:ascii="Arial" w:hAnsi="Arial" w:cs="Arial"/>
          <w:b/>
          <w:bCs/>
          <w:sz w:val="22"/>
          <w:szCs w:val="22"/>
          <w:lang w:val="it-CH"/>
        </w:rPr>
        <w:t>ripetibili</w:t>
      </w:r>
      <w:r w:rsidR="0060609D">
        <w:rPr>
          <w:rFonts w:ascii="Arial" w:hAnsi="Arial" w:cs="Arial"/>
          <w:sz w:val="22"/>
          <w:szCs w:val="22"/>
          <w:lang w:val="it-CH"/>
        </w:rPr>
        <w:t>, l’</w:t>
      </w:r>
      <w:r w:rsidRPr="00AC0557">
        <w:rPr>
          <w:rFonts w:ascii="Arial" w:hAnsi="Arial" w:cs="Arial"/>
          <w:sz w:val="22"/>
          <w:szCs w:val="22"/>
          <w:lang w:val="it-CH"/>
        </w:rPr>
        <w:t>art. 49</w:t>
      </w:r>
      <w:r w:rsidR="0060609D">
        <w:rPr>
          <w:rFonts w:ascii="Arial" w:hAnsi="Arial" w:cs="Arial"/>
          <w:sz w:val="22"/>
          <w:szCs w:val="22"/>
          <w:lang w:val="it-CH"/>
        </w:rPr>
        <w:t xml:space="preserve"> cpv. 1</w:t>
      </w:r>
      <w:r w:rsidRPr="00AC0557">
        <w:rPr>
          <w:rFonts w:ascii="Arial" w:hAnsi="Arial" w:cs="Arial"/>
          <w:sz w:val="22"/>
          <w:szCs w:val="22"/>
          <w:lang w:val="it-CH"/>
        </w:rPr>
        <w:t xml:space="preserve"> LPAmm</w:t>
      </w:r>
      <w:r w:rsidR="0060609D">
        <w:rPr>
          <w:rFonts w:ascii="Arial" w:hAnsi="Arial" w:cs="Arial"/>
          <w:sz w:val="22"/>
          <w:szCs w:val="22"/>
          <w:lang w:val="it-CH"/>
        </w:rPr>
        <w:t xml:space="preserve"> </w:t>
      </w:r>
      <w:r w:rsidRPr="00AC0557">
        <w:rPr>
          <w:rFonts w:ascii="Arial" w:hAnsi="Arial" w:cs="Arial"/>
          <w:sz w:val="22"/>
          <w:szCs w:val="22"/>
          <w:lang w:val="it-CH"/>
        </w:rPr>
        <w:t xml:space="preserve">impone all'autorità di ricorso di condannare la </w:t>
      </w:r>
      <w:r w:rsidRPr="00BF7054">
        <w:rPr>
          <w:rFonts w:ascii="Arial" w:hAnsi="Arial" w:cs="Arial"/>
          <w:sz w:val="22"/>
          <w:szCs w:val="22"/>
          <w:lang w:val="it-CH"/>
        </w:rPr>
        <w:t>parte soccombente</w:t>
      </w:r>
      <w:r w:rsidRPr="00AC0557">
        <w:rPr>
          <w:rFonts w:ascii="Arial" w:hAnsi="Arial" w:cs="Arial"/>
          <w:sz w:val="22"/>
          <w:szCs w:val="22"/>
          <w:lang w:val="it-CH"/>
        </w:rPr>
        <w:t xml:space="preserve"> al pagamento di un'indennità alla controparte per le spese necessarie causate dalla controversia. Il capoverso 2 esclude sì il diritto alle ripetibili per gli enti pubblici dotati di un proprio servizio giuridico</w:t>
      </w:r>
      <w:r w:rsidR="004979B7">
        <w:rPr>
          <w:rFonts w:ascii="Arial" w:hAnsi="Arial" w:cs="Arial"/>
          <w:sz w:val="22"/>
          <w:szCs w:val="22"/>
          <w:lang w:val="it-CH"/>
        </w:rPr>
        <w:t>,</w:t>
      </w:r>
      <w:r w:rsidRPr="00AC0557">
        <w:rPr>
          <w:rFonts w:ascii="Arial" w:hAnsi="Arial" w:cs="Arial"/>
          <w:sz w:val="22"/>
          <w:szCs w:val="22"/>
          <w:lang w:val="it-CH"/>
        </w:rPr>
        <w:t xml:space="preserve"> ma tale esclusione riguarda unicamente il caso in cui l'ente pubblico risulti </w:t>
      </w:r>
      <w:r w:rsidRPr="00BF7054">
        <w:rPr>
          <w:rFonts w:ascii="Arial" w:hAnsi="Arial" w:cs="Arial"/>
          <w:sz w:val="22"/>
          <w:szCs w:val="22"/>
          <w:lang w:val="it-CH"/>
        </w:rPr>
        <w:t>parte vincente</w:t>
      </w:r>
      <w:r w:rsidRPr="00AC0557">
        <w:rPr>
          <w:rFonts w:ascii="Arial" w:hAnsi="Arial" w:cs="Arial"/>
          <w:sz w:val="22"/>
          <w:szCs w:val="22"/>
          <w:lang w:val="it-CH"/>
        </w:rPr>
        <w:t xml:space="preserve">; essa non esonera l'ente pubblico </w:t>
      </w:r>
      <w:r w:rsidRPr="00BF7054">
        <w:rPr>
          <w:rFonts w:ascii="Arial" w:hAnsi="Arial" w:cs="Arial"/>
          <w:sz w:val="22"/>
          <w:szCs w:val="22"/>
          <w:lang w:val="it-CH"/>
        </w:rPr>
        <w:t>soccombente</w:t>
      </w:r>
      <w:r w:rsidRPr="00AC0557">
        <w:rPr>
          <w:rFonts w:ascii="Arial" w:hAnsi="Arial" w:cs="Arial"/>
          <w:sz w:val="22"/>
          <w:szCs w:val="22"/>
          <w:lang w:val="it-CH"/>
        </w:rPr>
        <w:t xml:space="preserve"> dall'obbligo di versare un'indennità alla controparte privata, che resta retto dal capoverso 1. Anzi, la medesima disposizione riserva espressamente le procedure in cui l'ente pubblico "agisce a tutela dei propri interessi pecuniari" – riserva che, come visto al punto 5.2, è realizzata anche qui e che rafforza, piuttosto che escludere, il diritto del ricorrente a un'indennità.</w:t>
      </w:r>
    </w:p>
    <w:p w14:paraId="170D0F6C" w14:textId="5762C792"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5.4. La qualità di parte soccombente del Comune di Mendrisio risulta</w:t>
      </w:r>
      <w:r w:rsidR="00C5736C">
        <w:rPr>
          <w:rFonts w:ascii="Arial" w:hAnsi="Arial" w:cs="Arial"/>
          <w:sz w:val="22"/>
          <w:szCs w:val="22"/>
          <w:lang w:val="it-CH"/>
        </w:rPr>
        <w:t xml:space="preserve"> </w:t>
      </w:r>
      <w:r w:rsidRPr="00AC0557">
        <w:rPr>
          <w:rFonts w:ascii="Arial" w:hAnsi="Arial" w:cs="Arial"/>
          <w:b/>
          <w:bCs/>
          <w:sz w:val="22"/>
          <w:szCs w:val="22"/>
          <w:lang w:val="it-CH"/>
        </w:rPr>
        <w:t>dalla motivazione della sua stessa risoluzione</w:t>
      </w:r>
      <w:r w:rsidRPr="00AC0557">
        <w:rPr>
          <w:rFonts w:ascii="Arial" w:hAnsi="Arial" w:cs="Arial"/>
          <w:sz w:val="22"/>
          <w:szCs w:val="22"/>
          <w:lang w:val="it-CH"/>
        </w:rPr>
        <w:t>: l'estratto</w:t>
      </w:r>
      <w:r w:rsidR="00724805">
        <w:rPr>
          <w:rFonts w:ascii="Arial" w:hAnsi="Arial" w:cs="Arial"/>
          <w:sz w:val="22"/>
          <w:szCs w:val="22"/>
          <w:lang w:val="it-CH"/>
        </w:rPr>
        <w:t xml:space="preserve"> della</w:t>
      </w:r>
      <w:r w:rsidRPr="00AC0557">
        <w:rPr>
          <w:rFonts w:ascii="Arial" w:hAnsi="Arial" w:cs="Arial"/>
          <w:sz w:val="22"/>
          <w:szCs w:val="22"/>
          <w:lang w:val="it-CH"/>
        </w:rPr>
        <w:t xml:space="preserve"> RM 5489 conferma che l'addebito contestato era sprovvisto di base legale sufficiente e costituiva una restrizione ingiustificata e sproporzionata di diritti fondamentali. Il ricorrente è stato </w:t>
      </w:r>
      <w:r w:rsidRPr="00724805">
        <w:rPr>
          <w:rFonts w:ascii="Arial" w:hAnsi="Arial" w:cs="Arial"/>
          <w:sz w:val="22"/>
          <w:szCs w:val="22"/>
          <w:lang w:val="it-CH"/>
        </w:rPr>
        <w:t>costretto ad avviare una procedura di reclamo e di ricorso durata oltre sei mesi</w:t>
      </w:r>
      <w:r w:rsidRPr="00AC0557">
        <w:rPr>
          <w:rFonts w:ascii="Arial" w:hAnsi="Arial" w:cs="Arial"/>
          <w:sz w:val="22"/>
          <w:szCs w:val="22"/>
          <w:lang w:val="it-CH"/>
        </w:rPr>
        <w:t xml:space="preserve"> per ottenere un risultato che il Comune avrebbe potuto e dovuto riconoscere già in sede di reclamo, il 20 febbraio 2026. Non si vede per quale ragione le spese necessarie causate da tale controversia, interamente imputabile all'iniziale e infondata pretesa municipale, dovrebbero gravare sul ricorrente.</w:t>
      </w:r>
    </w:p>
    <w:p w14:paraId="170D0F6D" w14:textId="77777777" w:rsidR="00F40DC1" w:rsidRDefault="009706E4">
      <w:pPr>
        <w:spacing w:after="160" w:line="276" w:lineRule="auto"/>
        <w:ind w:left="500" w:hanging="500"/>
        <w:jc w:val="both"/>
        <w:rPr>
          <w:rFonts w:ascii="Arial" w:hAnsi="Arial" w:cs="Arial"/>
          <w:sz w:val="22"/>
          <w:szCs w:val="22"/>
          <w:lang w:val="it-CH"/>
        </w:rPr>
      </w:pPr>
      <w:r w:rsidRPr="00AC0557">
        <w:rPr>
          <w:rFonts w:ascii="Arial" w:hAnsi="Arial" w:cs="Arial"/>
          <w:sz w:val="22"/>
          <w:szCs w:val="22"/>
          <w:lang w:val="it-CH"/>
        </w:rPr>
        <w:t xml:space="preserve">5.5. Si chiede pertanto che il Consiglio di Stato ponga la tassa di giustizia e le ripetibili dell'intera procedura – incluse le presenti osservazioni – a carico del Comune di Mendrisio, in applicazione degli art. 47 cpv. 6 e 49 cpv. 1 e 2 LPAmm, indipendentemente </w:t>
      </w:r>
      <w:r w:rsidRPr="00AC0557">
        <w:rPr>
          <w:rFonts w:ascii="Arial" w:hAnsi="Arial" w:cs="Arial"/>
          <w:sz w:val="22"/>
          <w:szCs w:val="22"/>
          <w:lang w:val="it-CH"/>
        </w:rPr>
        <w:lastRenderedPageBreak/>
        <w:t>dalla circostanza che si giunga a una decisione nel merito o a una decisione di stralcio fondata sulla soccombenza presumibile.</w:t>
      </w:r>
    </w:p>
    <w:p w14:paraId="701D3D33" w14:textId="77777777" w:rsidR="005855D0" w:rsidRDefault="005855D0">
      <w:pPr>
        <w:spacing w:after="160" w:line="276" w:lineRule="auto"/>
        <w:ind w:left="500" w:hanging="500"/>
        <w:jc w:val="both"/>
        <w:rPr>
          <w:rFonts w:ascii="Arial" w:hAnsi="Arial" w:cs="Arial"/>
          <w:sz w:val="22"/>
          <w:szCs w:val="22"/>
          <w:lang w:val="it-CH"/>
        </w:rPr>
      </w:pPr>
    </w:p>
    <w:p w14:paraId="530C3206" w14:textId="77777777" w:rsidR="005855D0" w:rsidRDefault="005855D0">
      <w:pPr>
        <w:spacing w:after="200" w:line="276" w:lineRule="auto"/>
        <w:rPr>
          <w:rFonts w:ascii="Arial" w:hAnsi="Arial" w:cs="Arial"/>
          <w:sz w:val="22"/>
          <w:szCs w:val="22"/>
          <w:lang w:val="it-CH"/>
        </w:rPr>
      </w:pPr>
    </w:p>
    <w:p w14:paraId="170D0F6F" w14:textId="5DE65C7F" w:rsidR="00F40DC1" w:rsidRPr="00AC0557" w:rsidRDefault="009706E4">
      <w:pPr>
        <w:spacing w:after="200" w:line="276" w:lineRule="auto"/>
        <w:rPr>
          <w:rFonts w:ascii="Arial" w:hAnsi="Arial" w:cs="Arial"/>
          <w:lang w:val="it-CH"/>
        </w:rPr>
      </w:pPr>
      <w:r w:rsidRPr="00AC0557">
        <w:rPr>
          <w:rFonts w:ascii="Arial" w:hAnsi="Arial" w:cs="Arial"/>
          <w:sz w:val="22"/>
          <w:szCs w:val="22"/>
          <w:lang w:val="it-CH"/>
        </w:rPr>
        <w:t>Per questi motivi, si chiede che il Consiglio di Stato voglia</w:t>
      </w:r>
      <w:r w:rsidR="00CC2A7A">
        <w:rPr>
          <w:rFonts w:ascii="Arial" w:hAnsi="Arial" w:cs="Arial"/>
          <w:sz w:val="22"/>
          <w:szCs w:val="22"/>
          <w:lang w:val="it-CH"/>
        </w:rPr>
        <w:t xml:space="preserve"> giudicare:</w:t>
      </w:r>
    </w:p>
    <w:p w14:paraId="170D0F70" w14:textId="12795375"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 xml:space="preserve">1. </w:t>
      </w:r>
      <w:r w:rsidR="00CC2A7A">
        <w:rPr>
          <w:rFonts w:ascii="Arial" w:hAnsi="Arial" w:cs="Arial"/>
          <w:sz w:val="22"/>
          <w:szCs w:val="22"/>
          <w:lang w:val="it-CH"/>
        </w:rPr>
        <w:t>L</w:t>
      </w:r>
      <w:r w:rsidR="005855D0">
        <w:rPr>
          <w:rFonts w:ascii="Arial" w:hAnsi="Arial" w:cs="Arial"/>
          <w:sz w:val="22"/>
          <w:szCs w:val="22"/>
          <w:lang w:val="it-CH"/>
        </w:rPr>
        <w:t>a</w:t>
      </w:r>
      <w:r w:rsidRPr="00AC0557">
        <w:rPr>
          <w:rFonts w:ascii="Arial" w:hAnsi="Arial" w:cs="Arial"/>
          <w:sz w:val="22"/>
          <w:szCs w:val="22"/>
          <w:lang w:val="it-CH"/>
        </w:rPr>
        <w:t xml:space="preserve"> procedura n. PUB.2026.81, ai sensi del punto 2 del decreto n. 360 del 3 agosto 2026</w:t>
      </w:r>
      <w:r w:rsidR="00CC2A7A">
        <w:rPr>
          <w:rFonts w:ascii="Arial" w:hAnsi="Arial" w:cs="Arial"/>
          <w:sz w:val="22"/>
          <w:szCs w:val="22"/>
          <w:lang w:val="it-CH"/>
        </w:rPr>
        <w:t>, è riattivata</w:t>
      </w:r>
      <w:r w:rsidRPr="00AC0557">
        <w:rPr>
          <w:rFonts w:ascii="Arial" w:hAnsi="Arial" w:cs="Arial"/>
          <w:sz w:val="22"/>
          <w:szCs w:val="22"/>
          <w:lang w:val="it-CH"/>
        </w:rPr>
        <w:t>.</w:t>
      </w:r>
    </w:p>
    <w:p w14:paraId="170D0F71" w14:textId="5DB26861"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 xml:space="preserve">2. </w:t>
      </w:r>
      <w:r w:rsidR="00CC2A7A">
        <w:rPr>
          <w:rFonts w:ascii="Arial" w:hAnsi="Arial" w:cs="Arial"/>
          <w:sz w:val="22"/>
          <w:szCs w:val="22"/>
          <w:lang w:val="it-CH"/>
        </w:rPr>
        <w:t>L</w:t>
      </w:r>
      <w:r w:rsidRPr="00AC0557">
        <w:rPr>
          <w:rFonts w:ascii="Arial" w:hAnsi="Arial" w:cs="Arial"/>
          <w:sz w:val="22"/>
          <w:szCs w:val="22"/>
          <w:lang w:val="it-CH"/>
        </w:rPr>
        <w:t>'istanza di stralcio</w:t>
      </w:r>
      <w:r w:rsidR="00CC2A7A">
        <w:rPr>
          <w:rFonts w:ascii="Arial" w:hAnsi="Arial" w:cs="Arial"/>
          <w:sz w:val="22"/>
          <w:szCs w:val="22"/>
          <w:lang w:val="it-CH"/>
        </w:rPr>
        <w:t xml:space="preserve"> </w:t>
      </w:r>
      <w:r w:rsidRPr="00AC0557">
        <w:rPr>
          <w:rFonts w:ascii="Arial" w:hAnsi="Arial" w:cs="Arial"/>
          <w:sz w:val="22"/>
          <w:szCs w:val="22"/>
          <w:lang w:val="it-CH"/>
        </w:rPr>
        <w:t xml:space="preserve">presentata dal Comune di Mendrisio </w:t>
      </w:r>
      <w:r w:rsidR="00CC2A7A">
        <w:rPr>
          <w:rFonts w:ascii="Arial" w:hAnsi="Arial" w:cs="Arial"/>
          <w:sz w:val="22"/>
          <w:szCs w:val="22"/>
          <w:lang w:val="it-CH"/>
        </w:rPr>
        <w:t>è annullata</w:t>
      </w:r>
    </w:p>
    <w:p w14:paraId="170D0F72" w14:textId="2B1E9D2B"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 xml:space="preserve">3. </w:t>
      </w:r>
      <w:r w:rsidR="00CC2A7A">
        <w:rPr>
          <w:rFonts w:ascii="Arial" w:hAnsi="Arial" w:cs="Arial"/>
          <w:sz w:val="22"/>
          <w:szCs w:val="22"/>
          <w:lang w:val="it-CH"/>
        </w:rPr>
        <w:t>Il</w:t>
      </w:r>
      <w:r w:rsidRPr="00AC0557">
        <w:rPr>
          <w:rFonts w:ascii="Arial" w:hAnsi="Arial" w:cs="Arial"/>
          <w:sz w:val="22"/>
          <w:szCs w:val="22"/>
          <w:lang w:val="it-CH"/>
        </w:rPr>
        <w:t xml:space="preserve"> ricorso 15 giugno 2026 </w:t>
      </w:r>
      <w:r w:rsidR="00CC2A7A">
        <w:rPr>
          <w:rFonts w:ascii="Arial" w:hAnsi="Arial" w:cs="Arial"/>
          <w:sz w:val="22"/>
          <w:szCs w:val="22"/>
          <w:lang w:val="it-CH"/>
        </w:rPr>
        <w:t>è accolto</w:t>
      </w:r>
      <w:r w:rsidRPr="00AC0557">
        <w:rPr>
          <w:rFonts w:ascii="Arial" w:hAnsi="Arial" w:cs="Arial"/>
          <w:sz w:val="22"/>
          <w:szCs w:val="22"/>
          <w:lang w:val="it-CH"/>
        </w:rPr>
        <w:t>.</w:t>
      </w:r>
    </w:p>
    <w:p w14:paraId="170D0F73" w14:textId="77777777"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 xml:space="preserve">4. In via subordinata, qualora il Consiglio di Stato dovesse ritenere che la componente pecuniaria del ricorso sia divenuta priva di oggetto, </w:t>
      </w:r>
      <w:r w:rsidRPr="009D4CBE">
        <w:rPr>
          <w:rFonts w:ascii="Arial" w:hAnsi="Arial" w:cs="Arial"/>
          <w:sz w:val="22"/>
          <w:szCs w:val="22"/>
          <w:lang w:val="it-CH"/>
        </w:rPr>
        <w:t>accertare</w:t>
      </w:r>
      <w:r w:rsidRPr="00AC0557">
        <w:rPr>
          <w:rFonts w:ascii="Arial" w:hAnsi="Arial" w:cs="Arial"/>
          <w:b/>
          <w:bCs/>
          <w:sz w:val="22"/>
          <w:szCs w:val="22"/>
          <w:lang w:val="it-CH"/>
        </w:rPr>
        <w:t xml:space="preserve"> </w:t>
      </w:r>
      <w:r w:rsidRPr="005855D0">
        <w:rPr>
          <w:rFonts w:ascii="Arial" w:hAnsi="Arial" w:cs="Arial"/>
          <w:sz w:val="22"/>
          <w:szCs w:val="22"/>
          <w:lang w:val="it-CH"/>
        </w:rPr>
        <w:t>comunque</w:t>
      </w:r>
      <w:r w:rsidRPr="00AC0557">
        <w:rPr>
          <w:rFonts w:ascii="Arial" w:hAnsi="Arial" w:cs="Arial"/>
          <w:sz w:val="22"/>
          <w:szCs w:val="22"/>
          <w:lang w:val="it-CH"/>
        </w:rPr>
        <w:t>, nel dispositivo, l'illegittimità della prassi del Municipio di Mendrisio di addossare agli organizzatori di manifestazioni politiche autorizzate e pacifiche i costi del servizio di gestione del traffico svolto da terzi, in assenza di una base legale cantonale sufficiente e in violazione degli art. 16 e 22 Cost., art. 10 e 11 CEDU.</w:t>
      </w:r>
    </w:p>
    <w:p w14:paraId="170D0F74" w14:textId="3A32C8EB" w:rsidR="00F40DC1" w:rsidRPr="00AC0557" w:rsidRDefault="009706E4">
      <w:pPr>
        <w:spacing w:after="160" w:line="276" w:lineRule="auto"/>
        <w:ind w:left="500" w:hanging="500"/>
        <w:jc w:val="both"/>
        <w:rPr>
          <w:rFonts w:ascii="Arial" w:hAnsi="Arial" w:cs="Arial"/>
          <w:lang w:val="it-CH"/>
        </w:rPr>
      </w:pPr>
      <w:r w:rsidRPr="00AC0557">
        <w:rPr>
          <w:rFonts w:ascii="Arial" w:hAnsi="Arial" w:cs="Arial"/>
          <w:sz w:val="22"/>
          <w:szCs w:val="22"/>
          <w:lang w:val="it-CH"/>
        </w:rPr>
        <w:t xml:space="preserve">5. </w:t>
      </w:r>
      <w:r w:rsidR="00D64933">
        <w:rPr>
          <w:rFonts w:ascii="Arial" w:hAnsi="Arial" w:cs="Arial"/>
          <w:sz w:val="22"/>
          <w:szCs w:val="22"/>
          <w:lang w:val="it-CH"/>
        </w:rPr>
        <w:t>Spese, tasse</w:t>
      </w:r>
      <w:r w:rsidRPr="00AC0557">
        <w:rPr>
          <w:rFonts w:ascii="Arial" w:hAnsi="Arial" w:cs="Arial"/>
          <w:sz w:val="22"/>
          <w:szCs w:val="22"/>
          <w:lang w:val="it-CH"/>
        </w:rPr>
        <w:t xml:space="preserve"> e ripetibili, per l'intera procedura</w:t>
      </w:r>
      <w:r w:rsidR="009D4CBE">
        <w:rPr>
          <w:rFonts w:ascii="Arial" w:hAnsi="Arial" w:cs="Arial"/>
          <w:sz w:val="22"/>
          <w:szCs w:val="22"/>
          <w:lang w:val="it-CH"/>
        </w:rPr>
        <w:t xml:space="preserve"> di reclamo e di ricorso</w:t>
      </w:r>
      <w:r w:rsidRPr="00AC0557">
        <w:rPr>
          <w:rFonts w:ascii="Arial" w:hAnsi="Arial" w:cs="Arial"/>
          <w:sz w:val="22"/>
          <w:szCs w:val="22"/>
          <w:lang w:val="it-CH"/>
        </w:rPr>
        <w:t>, incluse le presenti osservazioni, a carico del Comune di Mendrisio</w:t>
      </w:r>
      <w:r w:rsidR="00DE7C8D">
        <w:rPr>
          <w:rFonts w:ascii="Arial" w:hAnsi="Arial" w:cs="Arial"/>
          <w:sz w:val="22"/>
          <w:szCs w:val="22"/>
          <w:lang w:val="it-CH"/>
        </w:rPr>
        <w:t>.</w:t>
      </w:r>
    </w:p>
    <w:p w14:paraId="782240CB" w14:textId="77777777" w:rsidR="003511F9" w:rsidRDefault="003511F9" w:rsidP="003511F9">
      <w:pPr>
        <w:rPr>
          <w:rFonts w:ascii="Arial" w:hAnsi="Arial" w:cs="Arial"/>
          <w:sz w:val="22"/>
          <w:szCs w:val="22"/>
          <w:lang w:val="it-CH"/>
        </w:rPr>
      </w:pPr>
    </w:p>
    <w:p w14:paraId="170D0F75" w14:textId="5715BDE1" w:rsidR="00F40DC1" w:rsidRDefault="003511F9" w:rsidP="003511F9">
      <w:pPr>
        <w:rPr>
          <w:rFonts w:ascii="Arial" w:hAnsi="Arial" w:cs="Arial"/>
          <w:sz w:val="22"/>
          <w:szCs w:val="22"/>
          <w:lang w:val="it-CH"/>
        </w:rPr>
      </w:pPr>
      <w:r>
        <w:rPr>
          <w:rFonts w:ascii="Arial" w:hAnsi="Arial" w:cs="Arial"/>
          <w:sz w:val="22"/>
          <w:szCs w:val="22"/>
          <w:lang w:val="it-CH"/>
        </w:rPr>
        <w:t>C</w:t>
      </w:r>
      <w:r w:rsidR="009706E4" w:rsidRPr="00AC0557">
        <w:rPr>
          <w:rFonts w:ascii="Arial" w:hAnsi="Arial" w:cs="Arial"/>
          <w:sz w:val="22"/>
          <w:szCs w:val="22"/>
          <w:lang w:val="it-CH"/>
        </w:rPr>
        <w:t>on ossequio.</w:t>
      </w:r>
    </w:p>
    <w:p w14:paraId="44273347" w14:textId="77777777" w:rsidR="005D05ED" w:rsidRDefault="005D05ED" w:rsidP="003511F9">
      <w:pPr>
        <w:rPr>
          <w:rFonts w:ascii="Arial" w:hAnsi="Arial" w:cs="Arial"/>
          <w:sz w:val="22"/>
          <w:szCs w:val="22"/>
          <w:lang w:val="it-CH"/>
        </w:rPr>
      </w:pPr>
    </w:p>
    <w:p w14:paraId="1B44D98B" w14:textId="77777777" w:rsidR="003511F9" w:rsidRDefault="003511F9" w:rsidP="003511F9">
      <w:pPr>
        <w:rPr>
          <w:rFonts w:ascii="Arial" w:hAnsi="Arial" w:cs="Arial"/>
          <w:sz w:val="22"/>
          <w:szCs w:val="22"/>
          <w:lang w:val="it-CH"/>
        </w:rPr>
      </w:pPr>
    </w:p>
    <w:p w14:paraId="17862649" w14:textId="2B9D92CE" w:rsidR="003511F9" w:rsidRDefault="003511F9" w:rsidP="003511F9">
      <w:pPr>
        <w:rPr>
          <w:rFonts w:ascii="Arial" w:hAnsi="Arial" w:cs="Arial"/>
          <w:sz w:val="22"/>
          <w:szCs w:val="22"/>
          <w:lang w:val="it-CH"/>
        </w:rPr>
      </w:pPr>
      <w:r>
        <w:rPr>
          <w:rFonts w:ascii="Arial" w:hAnsi="Arial" w:cs="Arial"/>
          <w:sz w:val="22"/>
          <w:szCs w:val="22"/>
          <w:lang w:val="it-CH"/>
        </w:rPr>
        <w:t>Elia Agostinetti</w:t>
      </w:r>
      <w:r>
        <w:rPr>
          <w:rFonts w:ascii="Arial" w:hAnsi="Arial" w:cs="Arial"/>
          <w:sz w:val="22"/>
          <w:szCs w:val="22"/>
          <w:lang w:val="it-CH"/>
        </w:rPr>
        <w:tab/>
      </w:r>
      <w:r>
        <w:rPr>
          <w:rFonts w:ascii="Arial" w:hAnsi="Arial" w:cs="Arial"/>
          <w:sz w:val="22"/>
          <w:szCs w:val="22"/>
          <w:lang w:val="it-CH"/>
        </w:rPr>
        <w:tab/>
      </w:r>
      <w:r>
        <w:rPr>
          <w:rFonts w:ascii="Arial" w:hAnsi="Arial" w:cs="Arial"/>
          <w:sz w:val="22"/>
          <w:szCs w:val="22"/>
          <w:lang w:val="it-CH"/>
        </w:rPr>
        <w:tab/>
      </w:r>
      <w:r>
        <w:rPr>
          <w:rFonts w:ascii="Arial" w:hAnsi="Arial" w:cs="Arial"/>
          <w:sz w:val="22"/>
          <w:szCs w:val="22"/>
          <w:lang w:val="it-CH"/>
        </w:rPr>
        <w:tab/>
      </w:r>
      <w:r>
        <w:rPr>
          <w:rFonts w:ascii="Arial" w:hAnsi="Arial" w:cs="Arial"/>
          <w:sz w:val="22"/>
          <w:szCs w:val="22"/>
          <w:lang w:val="it-CH"/>
        </w:rPr>
        <w:tab/>
      </w:r>
      <w:r>
        <w:rPr>
          <w:rFonts w:ascii="Arial" w:hAnsi="Arial" w:cs="Arial"/>
          <w:sz w:val="22"/>
          <w:szCs w:val="22"/>
          <w:lang w:val="it-CH"/>
        </w:rPr>
        <w:tab/>
      </w:r>
      <w:r>
        <w:rPr>
          <w:rFonts w:ascii="Arial" w:hAnsi="Arial" w:cs="Arial"/>
          <w:sz w:val="22"/>
          <w:szCs w:val="22"/>
          <w:lang w:val="it-CH"/>
        </w:rPr>
        <w:tab/>
      </w:r>
      <w:r>
        <w:rPr>
          <w:rFonts w:ascii="Arial" w:hAnsi="Arial" w:cs="Arial"/>
          <w:sz w:val="22"/>
          <w:szCs w:val="22"/>
          <w:lang w:val="it-CH"/>
        </w:rPr>
        <w:tab/>
        <w:t>Matteo Pronzini</w:t>
      </w:r>
    </w:p>
    <w:p w14:paraId="7FCA8999" w14:textId="77777777" w:rsidR="003511F9" w:rsidRDefault="003511F9" w:rsidP="003511F9">
      <w:pPr>
        <w:rPr>
          <w:rFonts w:ascii="Arial" w:hAnsi="Arial" w:cs="Arial"/>
          <w:sz w:val="22"/>
          <w:szCs w:val="22"/>
          <w:lang w:val="it-CH"/>
        </w:rPr>
      </w:pPr>
    </w:p>
    <w:p w14:paraId="5E1B1703" w14:textId="77777777" w:rsidR="003511F9" w:rsidRPr="00AC0557" w:rsidRDefault="003511F9" w:rsidP="003511F9">
      <w:pPr>
        <w:rPr>
          <w:rFonts w:ascii="Arial" w:hAnsi="Arial" w:cs="Arial"/>
          <w:lang w:val="it-CH"/>
        </w:rPr>
      </w:pPr>
    </w:p>
    <w:p w14:paraId="16C9F5D2" w14:textId="42408E5B" w:rsidR="003511F9" w:rsidRDefault="009706E4" w:rsidP="003511F9">
      <w:pPr>
        <w:rPr>
          <w:rFonts w:ascii="Arial" w:hAnsi="Arial" w:cs="Arial"/>
          <w:i/>
          <w:iCs/>
          <w:sz w:val="22"/>
          <w:szCs w:val="22"/>
          <w:lang w:val="it-CH"/>
        </w:rPr>
      </w:pPr>
      <w:r w:rsidRPr="00AC0557">
        <w:rPr>
          <w:rFonts w:ascii="Arial" w:hAnsi="Arial" w:cs="Arial"/>
          <w:i/>
          <w:iCs/>
          <w:sz w:val="22"/>
          <w:szCs w:val="22"/>
          <w:lang w:val="it-CH"/>
        </w:rPr>
        <w:t>In tre copie</w:t>
      </w:r>
    </w:p>
    <w:p w14:paraId="7AB6B07B" w14:textId="77777777" w:rsidR="007D7328" w:rsidRPr="00AC0557" w:rsidRDefault="007D7328">
      <w:pPr>
        <w:spacing w:after="200" w:line="276" w:lineRule="auto"/>
        <w:rPr>
          <w:rFonts w:ascii="Arial" w:hAnsi="Arial" w:cs="Arial"/>
          <w:lang w:val="it-CH"/>
        </w:rPr>
      </w:pPr>
    </w:p>
    <w:p w14:paraId="170D0F78" w14:textId="77777777" w:rsidR="00F40DC1" w:rsidRPr="00AC0557" w:rsidRDefault="009706E4">
      <w:pPr>
        <w:spacing w:before="400" w:after="100"/>
        <w:rPr>
          <w:rFonts w:ascii="Arial" w:hAnsi="Arial" w:cs="Arial"/>
          <w:lang w:val="it-CH"/>
        </w:rPr>
      </w:pPr>
      <w:r w:rsidRPr="00AC0557">
        <w:rPr>
          <w:rFonts w:ascii="Arial" w:hAnsi="Arial" w:cs="Arial"/>
          <w:b/>
          <w:bCs/>
          <w:sz w:val="22"/>
          <w:szCs w:val="22"/>
          <w:lang w:val="it-CH"/>
        </w:rPr>
        <w:t>Allegato:</w:t>
      </w:r>
    </w:p>
    <w:p w14:paraId="170D0F79" w14:textId="77777777" w:rsidR="00F40DC1" w:rsidRPr="00AC0557" w:rsidRDefault="009706E4" w:rsidP="009D4CBE">
      <w:pPr>
        <w:spacing w:line="276" w:lineRule="auto"/>
        <w:jc w:val="both"/>
        <w:rPr>
          <w:rFonts w:ascii="Arial" w:hAnsi="Arial" w:cs="Arial"/>
          <w:lang w:val="it-CH"/>
        </w:rPr>
      </w:pPr>
      <w:r w:rsidRPr="00AC0557">
        <w:rPr>
          <w:rFonts w:ascii="Arial" w:hAnsi="Arial" w:cs="Arial"/>
          <w:sz w:val="22"/>
          <w:szCs w:val="22"/>
          <w:lang w:val="it-CH"/>
        </w:rPr>
        <w:t>Doc. 5: Estratto delle risoluzioni municipali del 17 agosto 2026 (RM n. 5489 del 28 luglio 2026)</w:t>
      </w:r>
    </w:p>
    <w:sectPr w:rsidR="00F40DC1" w:rsidRPr="00AC0557">
      <w:pgSz w:w="11906" w:h="16838"/>
      <w:pgMar w:top="1418" w:right="1418" w:bottom="1418"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0E3E2C"/>
    <w:multiLevelType w:val="hybridMultilevel"/>
    <w:tmpl w:val="D6422984"/>
    <w:lvl w:ilvl="0" w:tplc="F2820DA8">
      <w:start w:val="1"/>
      <w:numFmt w:val="bullet"/>
      <w:lvlText w:val="●"/>
      <w:lvlJc w:val="left"/>
      <w:pPr>
        <w:ind w:left="720" w:hanging="360"/>
      </w:pPr>
    </w:lvl>
    <w:lvl w:ilvl="1" w:tplc="443297F6">
      <w:start w:val="1"/>
      <w:numFmt w:val="bullet"/>
      <w:lvlText w:val="○"/>
      <w:lvlJc w:val="left"/>
      <w:pPr>
        <w:ind w:left="1440" w:hanging="360"/>
      </w:pPr>
    </w:lvl>
    <w:lvl w:ilvl="2" w:tplc="1F405864">
      <w:start w:val="1"/>
      <w:numFmt w:val="bullet"/>
      <w:lvlText w:val="■"/>
      <w:lvlJc w:val="left"/>
      <w:pPr>
        <w:ind w:left="2160" w:hanging="360"/>
      </w:pPr>
    </w:lvl>
    <w:lvl w:ilvl="3" w:tplc="5A92EFA6">
      <w:start w:val="1"/>
      <w:numFmt w:val="bullet"/>
      <w:lvlText w:val="●"/>
      <w:lvlJc w:val="left"/>
      <w:pPr>
        <w:ind w:left="2880" w:hanging="360"/>
      </w:pPr>
    </w:lvl>
    <w:lvl w:ilvl="4" w:tplc="69041606">
      <w:start w:val="1"/>
      <w:numFmt w:val="bullet"/>
      <w:lvlText w:val="○"/>
      <w:lvlJc w:val="left"/>
      <w:pPr>
        <w:ind w:left="3600" w:hanging="360"/>
      </w:pPr>
    </w:lvl>
    <w:lvl w:ilvl="5" w:tplc="5030C332">
      <w:start w:val="1"/>
      <w:numFmt w:val="bullet"/>
      <w:lvlText w:val="■"/>
      <w:lvlJc w:val="left"/>
      <w:pPr>
        <w:ind w:left="4320" w:hanging="360"/>
      </w:pPr>
    </w:lvl>
    <w:lvl w:ilvl="6" w:tplc="D1B4686A">
      <w:start w:val="1"/>
      <w:numFmt w:val="bullet"/>
      <w:lvlText w:val="●"/>
      <w:lvlJc w:val="left"/>
      <w:pPr>
        <w:ind w:left="5040" w:hanging="360"/>
      </w:pPr>
    </w:lvl>
    <w:lvl w:ilvl="7" w:tplc="039AA27E">
      <w:start w:val="1"/>
      <w:numFmt w:val="bullet"/>
      <w:lvlText w:val="●"/>
      <w:lvlJc w:val="left"/>
      <w:pPr>
        <w:ind w:left="5760" w:hanging="360"/>
      </w:pPr>
    </w:lvl>
    <w:lvl w:ilvl="8" w:tplc="5444235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DC1"/>
    <w:rsid w:val="00047655"/>
    <w:rsid w:val="00071A88"/>
    <w:rsid w:val="000F6ED3"/>
    <w:rsid w:val="001551C6"/>
    <w:rsid w:val="001C0C59"/>
    <w:rsid w:val="002871C0"/>
    <w:rsid w:val="002B7E96"/>
    <w:rsid w:val="002D5CE9"/>
    <w:rsid w:val="0032556C"/>
    <w:rsid w:val="003319B4"/>
    <w:rsid w:val="003446CC"/>
    <w:rsid w:val="003511F9"/>
    <w:rsid w:val="0040642E"/>
    <w:rsid w:val="004774AC"/>
    <w:rsid w:val="004776AE"/>
    <w:rsid w:val="004979B7"/>
    <w:rsid w:val="005309E8"/>
    <w:rsid w:val="00571829"/>
    <w:rsid w:val="00577FDC"/>
    <w:rsid w:val="005855D0"/>
    <w:rsid w:val="005D05ED"/>
    <w:rsid w:val="0060609D"/>
    <w:rsid w:val="00607EC3"/>
    <w:rsid w:val="00632C3E"/>
    <w:rsid w:val="006B6774"/>
    <w:rsid w:val="006C1241"/>
    <w:rsid w:val="006D532B"/>
    <w:rsid w:val="006E1FAF"/>
    <w:rsid w:val="00724805"/>
    <w:rsid w:val="00725DB7"/>
    <w:rsid w:val="007D7328"/>
    <w:rsid w:val="008179AD"/>
    <w:rsid w:val="00825E33"/>
    <w:rsid w:val="00907C0F"/>
    <w:rsid w:val="0092169B"/>
    <w:rsid w:val="009706E4"/>
    <w:rsid w:val="009D447F"/>
    <w:rsid w:val="009D4CBE"/>
    <w:rsid w:val="00A03A86"/>
    <w:rsid w:val="00A21B23"/>
    <w:rsid w:val="00AC0557"/>
    <w:rsid w:val="00B64E66"/>
    <w:rsid w:val="00BA7ACD"/>
    <w:rsid w:val="00BF7054"/>
    <w:rsid w:val="00C5736C"/>
    <w:rsid w:val="00C846DD"/>
    <w:rsid w:val="00C9055C"/>
    <w:rsid w:val="00CA1242"/>
    <w:rsid w:val="00CB1CEE"/>
    <w:rsid w:val="00CB722A"/>
    <w:rsid w:val="00CC2A7A"/>
    <w:rsid w:val="00D3622A"/>
    <w:rsid w:val="00D64933"/>
    <w:rsid w:val="00D8049C"/>
    <w:rsid w:val="00DB7676"/>
    <w:rsid w:val="00DE7C8D"/>
    <w:rsid w:val="00E71A8F"/>
    <w:rsid w:val="00E91E90"/>
    <w:rsid w:val="00EA4E87"/>
    <w:rsid w:val="00EF72C6"/>
    <w:rsid w:val="00F17159"/>
    <w:rsid w:val="00F40DC1"/>
    <w:rsid w:val="00FD54E9"/>
    <w:rsid w:val="00FE114B"/>
    <w:rsid w:val="00FF182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D0F42"/>
  <w15:docId w15:val="{DD76E706-37C9-4B88-A5AD-789D796F1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2458</Words>
  <Characters>14012</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Giuseppe Sergi</cp:lastModifiedBy>
  <cp:revision>2</cp:revision>
  <cp:lastPrinted>2026-09-08T06:25:00Z</cp:lastPrinted>
  <dcterms:created xsi:type="dcterms:W3CDTF">2026-09-08T13:54:00Z</dcterms:created>
  <dcterms:modified xsi:type="dcterms:W3CDTF">2026-09-08T13:54:00Z</dcterms:modified>
</cp:coreProperties>
</file>